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718ADE" w14:textId="77777777" w:rsidR="00B964F0" w:rsidRDefault="00B964F0">
      <w:pPr>
        <w:spacing w:line="240" w:lineRule="auto"/>
        <w:jc w:val="center"/>
        <w:rPr>
          <w:sz w:val="24"/>
          <w:szCs w:val="24"/>
        </w:rPr>
      </w:pPr>
    </w:p>
    <w:p w14:paraId="0AE950FA" w14:textId="77777777" w:rsidR="00B964F0" w:rsidRDefault="00B964F0">
      <w:pPr>
        <w:spacing w:line="240" w:lineRule="auto"/>
        <w:rPr>
          <w:sz w:val="24"/>
          <w:szCs w:val="24"/>
        </w:rPr>
      </w:pPr>
    </w:p>
    <w:p w14:paraId="33D430A2" w14:textId="77777777" w:rsidR="00B964F0" w:rsidRDefault="00000000">
      <w:pPr>
        <w:spacing w:line="240" w:lineRule="auto"/>
        <w:jc w:val="center"/>
        <w:rPr>
          <w:sz w:val="24"/>
          <w:szCs w:val="24"/>
        </w:rPr>
      </w:pPr>
      <w:r>
        <w:rPr>
          <w:b/>
          <w:sz w:val="24"/>
          <w:szCs w:val="24"/>
        </w:rPr>
        <w:t>Appendix B Guidance &amp; Best Practices</w:t>
      </w:r>
    </w:p>
    <w:p w14:paraId="6E5A77F6" w14:textId="27C2A8B8" w:rsidR="00B964F0" w:rsidRDefault="00000000">
      <w:pPr>
        <w:spacing w:line="240" w:lineRule="auto"/>
        <w:jc w:val="center"/>
        <w:rPr>
          <w:sz w:val="24"/>
          <w:szCs w:val="24"/>
        </w:rPr>
      </w:pPr>
      <w:r>
        <w:rPr>
          <w:sz w:val="24"/>
          <w:szCs w:val="24"/>
        </w:rPr>
        <w:t>Last Updated on:</w:t>
      </w:r>
      <w:r>
        <w:rPr>
          <w:sz w:val="24"/>
          <w:szCs w:val="24"/>
        </w:rPr>
        <w:tab/>
      </w:r>
      <w:r w:rsidR="00BE422B">
        <w:rPr>
          <w:sz w:val="24"/>
          <w:szCs w:val="24"/>
        </w:rPr>
        <w:t>February 1</w:t>
      </w:r>
      <w:r>
        <w:rPr>
          <w:sz w:val="24"/>
          <w:szCs w:val="24"/>
        </w:rPr>
        <w:t>, 202</w:t>
      </w:r>
      <w:r w:rsidR="00BE422B">
        <w:rPr>
          <w:sz w:val="24"/>
          <w:szCs w:val="24"/>
        </w:rPr>
        <w:t>4</w:t>
      </w:r>
    </w:p>
    <w:p w14:paraId="1FB912A7" w14:textId="77777777" w:rsidR="00B964F0" w:rsidRDefault="00B964F0">
      <w:pPr>
        <w:spacing w:line="240" w:lineRule="auto"/>
        <w:rPr>
          <w:sz w:val="24"/>
          <w:szCs w:val="24"/>
        </w:rPr>
      </w:pPr>
    </w:p>
    <w:p w14:paraId="1A0D54EE" w14:textId="77777777" w:rsidR="00B964F0" w:rsidRDefault="00B964F0">
      <w:pPr>
        <w:spacing w:line="240" w:lineRule="auto"/>
        <w:rPr>
          <w:sz w:val="24"/>
          <w:szCs w:val="24"/>
        </w:rPr>
      </w:pPr>
    </w:p>
    <w:sdt>
      <w:sdtPr>
        <w:id w:val="169382349"/>
        <w:docPartObj>
          <w:docPartGallery w:val="Table of Contents"/>
          <w:docPartUnique/>
        </w:docPartObj>
      </w:sdtPr>
      <w:sdtContent>
        <w:p w14:paraId="737BB204" w14:textId="3F8C494F" w:rsidR="00BE422B" w:rsidRDefault="00000000">
          <w:pPr>
            <w:pStyle w:val="TOC3"/>
            <w:tabs>
              <w:tab w:val="right" w:pos="9350"/>
            </w:tabs>
            <w:rPr>
              <w:noProof/>
            </w:rPr>
          </w:pPr>
          <w:r>
            <w:fldChar w:fldCharType="begin"/>
          </w:r>
          <w:r>
            <w:instrText xml:space="preserve"> TOC \h \u \z \t "Heading 1,1,Heading 2,2,Heading 3,3,Heading 4,4,Heading 5,5,Heading 6,6,"</w:instrText>
          </w:r>
          <w:r>
            <w:fldChar w:fldCharType="separate"/>
          </w:r>
          <w:hyperlink w:anchor="_Toc157165756" w:history="1">
            <w:r w:rsidR="00BE422B" w:rsidRPr="00417A21">
              <w:rPr>
                <w:rStyle w:val="Hyperlink"/>
                <w:b/>
                <w:noProof/>
              </w:rPr>
              <w:t>Introduction</w:t>
            </w:r>
            <w:r w:rsidR="00BE422B">
              <w:rPr>
                <w:noProof/>
                <w:webHidden/>
              </w:rPr>
              <w:tab/>
            </w:r>
            <w:r w:rsidR="00BE422B">
              <w:rPr>
                <w:noProof/>
                <w:webHidden/>
              </w:rPr>
              <w:fldChar w:fldCharType="begin"/>
            </w:r>
            <w:r w:rsidR="00BE422B">
              <w:rPr>
                <w:noProof/>
                <w:webHidden/>
              </w:rPr>
              <w:instrText xml:space="preserve"> PAGEREF _Toc157165756 \h </w:instrText>
            </w:r>
            <w:r w:rsidR="00BE422B">
              <w:rPr>
                <w:noProof/>
                <w:webHidden/>
              </w:rPr>
            </w:r>
            <w:r w:rsidR="00BE422B">
              <w:rPr>
                <w:noProof/>
                <w:webHidden/>
              </w:rPr>
              <w:fldChar w:fldCharType="separate"/>
            </w:r>
            <w:r w:rsidR="00207469">
              <w:rPr>
                <w:noProof/>
                <w:webHidden/>
              </w:rPr>
              <w:t>2</w:t>
            </w:r>
            <w:r w:rsidR="00BE422B">
              <w:rPr>
                <w:noProof/>
                <w:webHidden/>
              </w:rPr>
              <w:fldChar w:fldCharType="end"/>
            </w:r>
          </w:hyperlink>
        </w:p>
        <w:p w14:paraId="6B69302C" w14:textId="44FC7599" w:rsidR="00BE422B" w:rsidRDefault="00BE422B">
          <w:pPr>
            <w:pStyle w:val="TOC3"/>
            <w:tabs>
              <w:tab w:val="right" w:pos="9350"/>
            </w:tabs>
            <w:rPr>
              <w:noProof/>
            </w:rPr>
          </w:pPr>
          <w:hyperlink w:anchor="_Toc157165757" w:history="1">
            <w:r w:rsidRPr="00417A21">
              <w:rPr>
                <w:rStyle w:val="Hyperlink"/>
                <w:b/>
                <w:noProof/>
              </w:rPr>
              <w:t>What TMF Looks for and Evaluates</w:t>
            </w:r>
            <w:r>
              <w:rPr>
                <w:noProof/>
                <w:webHidden/>
              </w:rPr>
              <w:tab/>
            </w:r>
            <w:r>
              <w:rPr>
                <w:noProof/>
                <w:webHidden/>
              </w:rPr>
              <w:fldChar w:fldCharType="begin"/>
            </w:r>
            <w:r>
              <w:rPr>
                <w:noProof/>
                <w:webHidden/>
              </w:rPr>
              <w:instrText xml:space="preserve"> PAGEREF _Toc157165757 \h </w:instrText>
            </w:r>
            <w:r>
              <w:rPr>
                <w:noProof/>
                <w:webHidden/>
              </w:rPr>
            </w:r>
            <w:r>
              <w:rPr>
                <w:noProof/>
                <w:webHidden/>
              </w:rPr>
              <w:fldChar w:fldCharType="separate"/>
            </w:r>
            <w:r w:rsidR="00207469">
              <w:rPr>
                <w:noProof/>
                <w:webHidden/>
              </w:rPr>
              <w:t>2</w:t>
            </w:r>
            <w:r>
              <w:rPr>
                <w:noProof/>
                <w:webHidden/>
              </w:rPr>
              <w:fldChar w:fldCharType="end"/>
            </w:r>
          </w:hyperlink>
        </w:p>
        <w:p w14:paraId="3D69F767" w14:textId="1D47F408" w:rsidR="00BE422B" w:rsidRDefault="00BE422B">
          <w:pPr>
            <w:pStyle w:val="TOC4"/>
            <w:tabs>
              <w:tab w:val="right" w:pos="9350"/>
            </w:tabs>
            <w:rPr>
              <w:noProof/>
            </w:rPr>
          </w:pPr>
          <w:hyperlink w:anchor="_Toc157165758" w:history="1">
            <w:r w:rsidRPr="00417A21">
              <w:rPr>
                <w:rStyle w:val="Hyperlink"/>
                <w:b/>
                <w:noProof/>
              </w:rPr>
              <w:t>Accurate Project Cost Estimates</w:t>
            </w:r>
            <w:r>
              <w:rPr>
                <w:noProof/>
                <w:webHidden/>
              </w:rPr>
              <w:tab/>
            </w:r>
            <w:r>
              <w:rPr>
                <w:noProof/>
                <w:webHidden/>
              </w:rPr>
              <w:fldChar w:fldCharType="begin"/>
            </w:r>
            <w:r>
              <w:rPr>
                <w:noProof/>
                <w:webHidden/>
              </w:rPr>
              <w:instrText xml:space="preserve"> PAGEREF _Toc157165758 \h </w:instrText>
            </w:r>
            <w:r>
              <w:rPr>
                <w:noProof/>
                <w:webHidden/>
              </w:rPr>
            </w:r>
            <w:r>
              <w:rPr>
                <w:noProof/>
                <w:webHidden/>
              </w:rPr>
              <w:fldChar w:fldCharType="separate"/>
            </w:r>
            <w:r w:rsidR="00207469">
              <w:rPr>
                <w:noProof/>
                <w:webHidden/>
              </w:rPr>
              <w:t>2</w:t>
            </w:r>
            <w:r>
              <w:rPr>
                <w:noProof/>
                <w:webHidden/>
              </w:rPr>
              <w:fldChar w:fldCharType="end"/>
            </w:r>
          </w:hyperlink>
        </w:p>
        <w:p w14:paraId="25450828" w14:textId="293C1446" w:rsidR="00BE422B" w:rsidRDefault="00BE422B">
          <w:pPr>
            <w:pStyle w:val="TOC4"/>
            <w:tabs>
              <w:tab w:val="right" w:pos="9350"/>
            </w:tabs>
            <w:rPr>
              <w:noProof/>
            </w:rPr>
          </w:pPr>
          <w:hyperlink w:anchor="_Toc157165759" w:history="1">
            <w:r w:rsidRPr="00417A21">
              <w:rPr>
                <w:rStyle w:val="Hyperlink"/>
                <w:b/>
                <w:noProof/>
              </w:rPr>
              <w:t>Financial Approach &amp; Analysis</w:t>
            </w:r>
            <w:r>
              <w:rPr>
                <w:noProof/>
                <w:webHidden/>
              </w:rPr>
              <w:tab/>
            </w:r>
            <w:r>
              <w:rPr>
                <w:noProof/>
                <w:webHidden/>
              </w:rPr>
              <w:fldChar w:fldCharType="begin"/>
            </w:r>
            <w:r>
              <w:rPr>
                <w:noProof/>
                <w:webHidden/>
              </w:rPr>
              <w:instrText xml:space="preserve"> PAGEREF _Toc157165759 \h </w:instrText>
            </w:r>
            <w:r>
              <w:rPr>
                <w:noProof/>
                <w:webHidden/>
              </w:rPr>
            </w:r>
            <w:r>
              <w:rPr>
                <w:noProof/>
                <w:webHidden/>
              </w:rPr>
              <w:fldChar w:fldCharType="separate"/>
            </w:r>
            <w:r w:rsidR="00207469">
              <w:rPr>
                <w:noProof/>
                <w:webHidden/>
              </w:rPr>
              <w:t>3</w:t>
            </w:r>
            <w:r>
              <w:rPr>
                <w:noProof/>
                <w:webHidden/>
              </w:rPr>
              <w:fldChar w:fldCharType="end"/>
            </w:r>
          </w:hyperlink>
        </w:p>
        <w:p w14:paraId="6456A2EC" w14:textId="0DB3D70A" w:rsidR="00BE422B" w:rsidRDefault="00BE422B">
          <w:pPr>
            <w:pStyle w:val="TOC4"/>
            <w:tabs>
              <w:tab w:val="right" w:pos="9350"/>
            </w:tabs>
            <w:rPr>
              <w:noProof/>
            </w:rPr>
          </w:pPr>
          <w:hyperlink w:anchor="_Toc157165760" w:history="1">
            <w:r w:rsidRPr="00417A21">
              <w:rPr>
                <w:rStyle w:val="Hyperlink"/>
                <w:b/>
                <w:noProof/>
              </w:rPr>
              <w:t>Repa</w:t>
            </w:r>
            <w:r w:rsidRPr="00417A21">
              <w:rPr>
                <w:rStyle w:val="Hyperlink"/>
                <w:b/>
                <w:noProof/>
              </w:rPr>
              <w:t>y</w:t>
            </w:r>
            <w:r w:rsidRPr="00417A21">
              <w:rPr>
                <w:rStyle w:val="Hyperlink"/>
                <w:b/>
                <w:noProof/>
              </w:rPr>
              <w:t>ment Approach &amp; Analysis</w:t>
            </w:r>
            <w:r>
              <w:rPr>
                <w:noProof/>
                <w:webHidden/>
              </w:rPr>
              <w:tab/>
            </w:r>
            <w:r>
              <w:rPr>
                <w:noProof/>
                <w:webHidden/>
              </w:rPr>
              <w:fldChar w:fldCharType="begin"/>
            </w:r>
            <w:r>
              <w:rPr>
                <w:noProof/>
                <w:webHidden/>
              </w:rPr>
              <w:instrText xml:space="preserve"> PAGEREF _Toc157165760 \h </w:instrText>
            </w:r>
            <w:r>
              <w:rPr>
                <w:noProof/>
                <w:webHidden/>
              </w:rPr>
            </w:r>
            <w:r>
              <w:rPr>
                <w:noProof/>
                <w:webHidden/>
              </w:rPr>
              <w:fldChar w:fldCharType="separate"/>
            </w:r>
            <w:r w:rsidR="00207469">
              <w:rPr>
                <w:noProof/>
                <w:webHidden/>
              </w:rPr>
              <w:t>4</w:t>
            </w:r>
            <w:r>
              <w:rPr>
                <w:noProof/>
                <w:webHidden/>
              </w:rPr>
              <w:fldChar w:fldCharType="end"/>
            </w:r>
          </w:hyperlink>
        </w:p>
        <w:p w14:paraId="6AB52102" w14:textId="7BA36660" w:rsidR="00BE422B" w:rsidRDefault="00BE422B">
          <w:pPr>
            <w:pStyle w:val="TOC3"/>
            <w:tabs>
              <w:tab w:val="right" w:pos="9350"/>
            </w:tabs>
            <w:rPr>
              <w:noProof/>
            </w:rPr>
          </w:pPr>
          <w:hyperlink w:anchor="_Toc157165761" w:history="1">
            <w:r w:rsidRPr="00417A21">
              <w:rPr>
                <w:rStyle w:val="Hyperlink"/>
                <w:b/>
                <w:noProof/>
              </w:rPr>
              <w:t>Filling out the Spreadsheet – Tab by Tab</w:t>
            </w:r>
            <w:r>
              <w:rPr>
                <w:noProof/>
                <w:webHidden/>
              </w:rPr>
              <w:tab/>
            </w:r>
            <w:r>
              <w:rPr>
                <w:noProof/>
                <w:webHidden/>
              </w:rPr>
              <w:fldChar w:fldCharType="begin"/>
            </w:r>
            <w:r>
              <w:rPr>
                <w:noProof/>
                <w:webHidden/>
              </w:rPr>
              <w:instrText xml:space="preserve"> PAGEREF _Toc157165761 \h </w:instrText>
            </w:r>
            <w:r>
              <w:rPr>
                <w:noProof/>
                <w:webHidden/>
              </w:rPr>
            </w:r>
            <w:r>
              <w:rPr>
                <w:noProof/>
                <w:webHidden/>
              </w:rPr>
              <w:fldChar w:fldCharType="separate"/>
            </w:r>
            <w:r w:rsidR="00207469">
              <w:rPr>
                <w:noProof/>
                <w:webHidden/>
              </w:rPr>
              <w:t>5</w:t>
            </w:r>
            <w:r>
              <w:rPr>
                <w:noProof/>
                <w:webHidden/>
              </w:rPr>
              <w:fldChar w:fldCharType="end"/>
            </w:r>
          </w:hyperlink>
        </w:p>
        <w:p w14:paraId="41C02B6F" w14:textId="55A10EC0" w:rsidR="00BE422B" w:rsidRDefault="00BE422B">
          <w:pPr>
            <w:pStyle w:val="TOC4"/>
            <w:tabs>
              <w:tab w:val="right" w:pos="9350"/>
            </w:tabs>
            <w:rPr>
              <w:noProof/>
            </w:rPr>
          </w:pPr>
          <w:hyperlink w:anchor="_Toc157165762" w:history="1">
            <w:r w:rsidRPr="00417A21">
              <w:rPr>
                <w:rStyle w:val="Hyperlink"/>
                <w:b/>
                <w:noProof/>
              </w:rPr>
              <w:t>Headings &amp; Definitions</w:t>
            </w:r>
            <w:r>
              <w:rPr>
                <w:noProof/>
                <w:webHidden/>
              </w:rPr>
              <w:tab/>
            </w:r>
            <w:r>
              <w:rPr>
                <w:noProof/>
                <w:webHidden/>
              </w:rPr>
              <w:fldChar w:fldCharType="begin"/>
            </w:r>
            <w:r>
              <w:rPr>
                <w:noProof/>
                <w:webHidden/>
              </w:rPr>
              <w:instrText xml:space="preserve"> PAGEREF _Toc157165762 \h </w:instrText>
            </w:r>
            <w:r>
              <w:rPr>
                <w:noProof/>
                <w:webHidden/>
              </w:rPr>
            </w:r>
            <w:r>
              <w:rPr>
                <w:noProof/>
                <w:webHidden/>
              </w:rPr>
              <w:fldChar w:fldCharType="separate"/>
            </w:r>
            <w:r w:rsidR="00207469">
              <w:rPr>
                <w:noProof/>
                <w:webHidden/>
              </w:rPr>
              <w:t>5</w:t>
            </w:r>
            <w:r>
              <w:rPr>
                <w:noProof/>
                <w:webHidden/>
              </w:rPr>
              <w:fldChar w:fldCharType="end"/>
            </w:r>
          </w:hyperlink>
        </w:p>
        <w:p w14:paraId="044F15C6" w14:textId="3E7D72CF" w:rsidR="00BE422B" w:rsidRDefault="00BE422B">
          <w:pPr>
            <w:pStyle w:val="TOC4"/>
            <w:tabs>
              <w:tab w:val="right" w:pos="9350"/>
            </w:tabs>
            <w:rPr>
              <w:noProof/>
            </w:rPr>
          </w:pPr>
          <w:hyperlink w:anchor="_Toc157165763" w:history="1">
            <w:r w:rsidRPr="00417A21">
              <w:rPr>
                <w:rStyle w:val="Hyperlink"/>
                <w:b/>
                <w:noProof/>
              </w:rPr>
              <w:t>Overview &amp; Analysis</w:t>
            </w:r>
            <w:r>
              <w:rPr>
                <w:noProof/>
                <w:webHidden/>
              </w:rPr>
              <w:tab/>
            </w:r>
            <w:r>
              <w:rPr>
                <w:noProof/>
                <w:webHidden/>
              </w:rPr>
              <w:fldChar w:fldCharType="begin"/>
            </w:r>
            <w:r>
              <w:rPr>
                <w:noProof/>
                <w:webHidden/>
              </w:rPr>
              <w:instrText xml:space="preserve"> PAGEREF _Toc157165763 \h </w:instrText>
            </w:r>
            <w:r>
              <w:rPr>
                <w:noProof/>
                <w:webHidden/>
              </w:rPr>
            </w:r>
            <w:r>
              <w:rPr>
                <w:noProof/>
                <w:webHidden/>
              </w:rPr>
              <w:fldChar w:fldCharType="separate"/>
            </w:r>
            <w:r w:rsidR="00207469">
              <w:rPr>
                <w:noProof/>
                <w:webHidden/>
              </w:rPr>
              <w:t>6</w:t>
            </w:r>
            <w:r>
              <w:rPr>
                <w:noProof/>
                <w:webHidden/>
              </w:rPr>
              <w:fldChar w:fldCharType="end"/>
            </w:r>
          </w:hyperlink>
        </w:p>
        <w:p w14:paraId="6902F53D" w14:textId="37AA02DA" w:rsidR="00BE422B" w:rsidRDefault="00BE422B">
          <w:pPr>
            <w:pStyle w:val="TOC4"/>
            <w:tabs>
              <w:tab w:val="right" w:pos="9350"/>
            </w:tabs>
            <w:rPr>
              <w:noProof/>
            </w:rPr>
          </w:pPr>
          <w:hyperlink w:anchor="_Toc157165764" w:history="1">
            <w:r w:rsidRPr="00417A21">
              <w:rPr>
                <w:rStyle w:val="Hyperlink"/>
                <w:b/>
                <w:noProof/>
              </w:rPr>
              <w:t>Current (Baseline) State</w:t>
            </w:r>
            <w:r>
              <w:rPr>
                <w:noProof/>
                <w:webHidden/>
              </w:rPr>
              <w:tab/>
            </w:r>
            <w:r>
              <w:rPr>
                <w:noProof/>
                <w:webHidden/>
              </w:rPr>
              <w:fldChar w:fldCharType="begin"/>
            </w:r>
            <w:r>
              <w:rPr>
                <w:noProof/>
                <w:webHidden/>
              </w:rPr>
              <w:instrText xml:space="preserve"> PAGEREF _Toc157165764 \h </w:instrText>
            </w:r>
            <w:r>
              <w:rPr>
                <w:noProof/>
                <w:webHidden/>
              </w:rPr>
            </w:r>
            <w:r>
              <w:rPr>
                <w:noProof/>
                <w:webHidden/>
              </w:rPr>
              <w:fldChar w:fldCharType="separate"/>
            </w:r>
            <w:r w:rsidR="00207469">
              <w:rPr>
                <w:noProof/>
                <w:webHidden/>
              </w:rPr>
              <w:t>6</w:t>
            </w:r>
            <w:r>
              <w:rPr>
                <w:noProof/>
                <w:webHidden/>
              </w:rPr>
              <w:fldChar w:fldCharType="end"/>
            </w:r>
          </w:hyperlink>
        </w:p>
        <w:p w14:paraId="31871AB9" w14:textId="6EE6F4FF" w:rsidR="00BE422B" w:rsidRDefault="00BE422B">
          <w:pPr>
            <w:pStyle w:val="TOC4"/>
            <w:tabs>
              <w:tab w:val="right" w:pos="9350"/>
            </w:tabs>
            <w:rPr>
              <w:noProof/>
            </w:rPr>
          </w:pPr>
          <w:hyperlink w:anchor="_Toc157165765" w:history="1">
            <w:r w:rsidRPr="00417A21">
              <w:rPr>
                <w:rStyle w:val="Hyperlink"/>
                <w:b/>
                <w:noProof/>
              </w:rPr>
              <w:t>Projected State</w:t>
            </w:r>
            <w:r>
              <w:rPr>
                <w:noProof/>
                <w:webHidden/>
              </w:rPr>
              <w:tab/>
            </w:r>
            <w:r>
              <w:rPr>
                <w:noProof/>
                <w:webHidden/>
              </w:rPr>
              <w:fldChar w:fldCharType="begin"/>
            </w:r>
            <w:r>
              <w:rPr>
                <w:noProof/>
                <w:webHidden/>
              </w:rPr>
              <w:instrText xml:space="preserve"> PAGEREF _Toc157165765 \h </w:instrText>
            </w:r>
            <w:r>
              <w:rPr>
                <w:noProof/>
                <w:webHidden/>
              </w:rPr>
            </w:r>
            <w:r>
              <w:rPr>
                <w:noProof/>
                <w:webHidden/>
              </w:rPr>
              <w:fldChar w:fldCharType="separate"/>
            </w:r>
            <w:r w:rsidR="00207469">
              <w:rPr>
                <w:noProof/>
                <w:webHidden/>
              </w:rPr>
              <w:t>6</w:t>
            </w:r>
            <w:r>
              <w:rPr>
                <w:noProof/>
                <w:webHidden/>
              </w:rPr>
              <w:fldChar w:fldCharType="end"/>
            </w:r>
          </w:hyperlink>
        </w:p>
        <w:p w14:paraId="271904D3" w14:textId="34FDE19E" w:rsidR="00BE422B" w:rsidRDefault="00BE422B">
          <w:pPr>
            <w:pStyle w:val="TOC4"/>
            <w:tabs>
              <w:tab w:val="right" w:pos="9350"/>
            </w:tabs>
            <w:rPr>
              <w:noProof/>
            </w:rPr>
          </w:pPr>
          <w:hyperlink w:anchor="_Toc157165766" w:history="1">
            <w:r w:rsidRPr="00417A21">
              <w:rPr>
                <w:rStyle w:val="Hyperlink"/>
                <w:b/>
                <w:noProof/>
              </w:rPr>
              <w:t>Actual (Future) State</w:t>
            </w:r>
            <w:r>
              <w:rPr>
                <w:noProof/>
                <w:webHidden/>
              </w:rPr>
              <w:tab/>
            </w:r>
            <w:r>
              <w:rPr>
                <w:noProof/>
                <w:webHidden/>
              </w:rPr>
              <w:fldChar w:fldCharType="begin"/>
            </w:r>
            <w:r>
              <w:rPr>
                <w:noProof/>
                <w:webHidden/>
              </w:rPr>
              <w:instrText xml:space="preserve"> PAGEREF _Toc157165766 \h </w:instrText>
            </w:r>
            <w:r>
              <w:rPr>
                <w:noProof/>
                <w:webHidden/>
              </w:rPr>
            </w:r>
            <w:r>
              <w:rPr>
                <w:noProof/>
                <w:webHidden/>
              </w:rPr>
              <w:fldChar w:fldCharType="separate"/>
            </w:r>
            <w:r w:rsidR="00207469">
              <w:rPr>
                <w:noProof/>
                <w:webHidden/>
              </w:rPr>
              <w:t>6</w:t>
            </w:r>
            <w:r>
              <w:rPr>
                <w:noProof/>
                <w:webHidden/>
              </w:rPr>
              <w:fldChar w:fldCharType="end"/>
            </w:r>
          </w:hyperlink>
        </w:p>
        <w:p w14:paraId="05DACF6C" w14:textId="4A2E687B" w:rsidR="00BE422B" w:rsidRDefault="00BE422B">
          <w:pPr>
            <w:pStyle w:val="TOC4"/>
            <w:tabs>
              <w:tab w:val="right" w:pos="9350"/>
            </w:tabs>
            <w:rPr>
              <w:noProof/>
            </w:rPr>
          </w:pPr>
          <w:hyperlink w:anchor="_Toc157165767" w:history="1">
            <w:r w:rsidRPr="00417A21">
              <w:rPr>
                <w:rStyle w:val="Hyperlink"/>
                <w:b/>
                <w:noProof/>
              </w:rPr>
              <w:t>Milestone &amp; Transfer Schedule</w:t>
            </w:r>
            <w:r>
              <w:rPr>
                <w:noProof/>
                <w:webHidden/>
              </w:rPr>
              <w:tab/>
            </w:r>
            <w:r>
              <w:rPr>
                <w:noProof/>
                <w:webHidden/>
              </w:rPr>
              <w:fldChar w:fldCharType="begin"/>
            </w:r>
            <w:r>
              <w:rPr>
                <w:noProof/>
                <w:webHidden/>
              </w:rPr>
              <w:instrText xml:space="preserve"> PAGEREF _Toc157165767 \h </w:instrText>
            </w:r>
            <w:r>
              <w:rPr>
                <w:noProof/>
                <w:webHidden/>
              </w:rPr>
            </w:r>
            <w:r>
              <w:rPr>
                <w:noProof/>
                <w:webHidden/>
              </w:rPr>
              <w:fldChar w:fldCharType="separate"/>
            </w:r>
            <w:r w:rsidR="00207469">
              <w:rPr>
                <w:noProof/>
                <w:webHidden/>
              </w:rPr>
              <w:t>7</w:t>
            </w:r>
            <w:r>
              <w:rPr>
                <w:noProof/>
                <w:webHidden/>
              </w:rPr>
              <w:fldChar w:fldCharType="end"/>
            </w:r>
          </w:hyperlink>
        </w:p>
        <w:p w14:paraId="365421A0" w14:textId="35F7F8BD" w:rsidR="00BE422B" w:rsidRDefault="00BE422B">
          <w:pPr>
            <w:pStyle w:val="TOC3"/>
            <w:tabs>
              <w:tab w:val="right" w:pos="9350"/>
            </w:tabs>
            <w:rPr>
              <w:noProof/>
            </w:rPr>
          </w:pPr>
          <w:hyperlink w:anchor="_Toc157165768" w:history="1">
            <w:r w:rsidRPr="00417A21">
              <w:rPr>
                <w:rStyle w:val="Hyperlink"/>
                <w:b/>
                <w:noProof/>
              </w:rPr>
              <w:t>GAO Cost Estimate Guidance &amp; Best Practices</w:t>
            </w:r>
            <w:r>
              <w:rPr>
                <w:noProof/>
                <w:webHidden/>
              </w:rPr>
              <w:tab/>
            </w:r>
            <w:r>
              <w:rPr>
                <w:noProof/>
                <w:webHidden/>
              </w:rPr>
              <w:fldChar w:fldCharType="begin"/>
            </w:r>
            <w:r>
              <w:rPr>
                <w:noProof/>
                <w:webHidden/>
              </w:rPr>
              <w:instrText xml:space="preserve"> PAGEREF _Toc157165768 \h </w:instrText>
            </w:r>
            <w:r>
              <w:rPr>
                <w:noProof/>
                <w:webHidden/>
              </w:rPr>
            </w:r>
            <w:r>
              <w:rPr>
                <w:noProof/>
                <w:webHidden/>
              </w:rPr>
              <w:fldChar w:fldCharType="separate"/>
            </w:r>
            <w:r w:rsidR="00207469">
              <w:rPr>
                <w:noProof/>
                <w:webHidden/>
              </w:rPr>
              <w:t>7</w:t>
            </w:r>
            <w:r>
              <w:rPr>
                <w:noProof/>
                <w:webHidden/>
              </w:rPr>
              <w:fldChar w:fldCharType="end"/>
            </w:r>
          </w:hyperlink>
        </w:p>
        <w:p w14:paraId="549AC43A" w14:textId="0BE5DC86" w:rsidR="00BE422B" w:rsidRDefault="00BE422B">
          <w:pPr>
            <w:pStyle w:val="TOC4"/>
            <w:tabs>
              <w:tab w:val="right" w:pos="9350"/>
            </w:tabs>
            <w:rPr>
              <w:noProof/>
            </w:rPr>
          </w:pPr>
          <w:hyperlink w:anchor="_Toc157165769" w:history="1">
            <w:r w:rsidRPr="00417A21">
              <w:rPr>
                <w:rStyle w:val="Hyperlink"/>
                <w:b/>
                <w:noProof/>
              </w:rPr>
              <w:t>Significance of Cost Estimates</w:t>
            </w:r>
            <w:r>
              <w:rPr>
                <w:noProof/>
                <w:webHidden/>
              </w:rPr>
              <w:tab/>
            </w:r>
            <w:r>
              <w:rPr>
                <w:noProof/>
                <w:webHidden/>
              </w:rPr>
              <w:fldChar w:fldCharType="begin"/>
            </w:r>
            <w:r>
              <w:rPr>
                <w:noProof/>
                <w:webHidden/>
              </w:rPr>
              <w:instrText xml:space="preserve"> PAGEREF _Toc157165769 \h </w:instrText>
            </w:r>
            <w:r>
              <w:rPr>
                <w:noProof/>
                <w:webHidden/>
              </w:rPr>
            </w:r>
            <w:r>
              <w:rPr>
                <w:noProof/>
                <w:webHidden/>
              </w:rPr>
              <w:fldChar w:fldCharType="separate"/>
            </w:r>
            <w:r w:rsidR="00207469">
              <w:rPr>
                <w:noProof/>
                <w:webHidden/>
              </w:rPr>
              <w:t>7</w:t>
            </w:r>
            <w:r>
              <w:rPr>
                <w:noProof/>
                <w:webHidden/>
              </w:rPr>
              <w:fldChar w:fldCharType="end"/>
            </w:r>
          </w:hyperlink>
        </w:p>
        <w:p w14:paraId="5066BB63" w14:textId="0576D2D7" w:rsidR="00BE422B" w:rsidRDefault="00BE422B">
          <w:pPr>
            <w:pStyle w:val="TOC4"/>
            <w:tabs>
              <w:tab w:val="right" w:pos="9350"/>
            </w:tabs>
            <w:rPr>
              <w:noProof/>
            </w:rPr>
          </w:pPr>
          <w:hyperlink w:anchor="_Toc157165770" w:history="1">
            <w:r w:rsidRPr="00417A21">
              <w:rPr>
                <w:rStyle w:val="Hyperlink"/>
                <w:b/>
                <w:noProof/>
              </w:rPr>
              <w:t>The Four Characteristics of a Reliable Cost Estimate</w:t>
            </w:r>
            <w:r>
              <w:rPr>
                <w:noProof/>
                <w:webHidden/>
              </w:rPr>
              <w:tab/>
            </w:r>
            <w:r>
              <w:rPr>
                <w:noProof/>
                <w:webHidden/>
              </w:rPr>
              <w:fldChar w:fldCharType="begin"/>
            </w:r>
            <w:r>
              <w:rPr>
                <w:noProof/>
                <w:webHidden/>
              </w:rPr>
              <w:instrText xml:space="preserve"> PAGEREF _Toc157165770 \h </w:instrText>
            </w:r>
            <w:r>
              <w:rPr>
                <w:noProof/>
                <w:webHidden/>
              </w:rPr>
            </w:r>
            <w:r>
              <w:rPr>
                <w:noProof/>
                <w:webHidden/>
              </w:rPr>
              <w:fldChar w:fldCharType="separate"/>
            </w:r>
            <w:r w:rsidR="00207469">
              <w:rPr>
                <w:noProof/>
                <w:webHidden/>
              </w:rPr>
              <w:t>8</w:t>
            </w:r>
            <w:r>
              <w:rPr>
                <w:noProof/>
                <w:webHidden/>
              </w:rPr>
              <w:fldChar w:fldCharType="end"/>
            </w:r>
          </w:hyperlink>
        </w:p>
        <w:p w14:paraId="102FA866" w14:textId="583DD4B2" w:rsidR="00BE422B" w:rsidRDefault="00BE422B">
          <w:pPr>
            <w:pStyle w:val="TOC4"/>
            <w:tabs>
              <w:tab w:val="right" w:pos="9350"/>
            </w:tabs>
            <w:rPr>
              <w:noProof/>
            </w:rPr>
          </w:pPr>
          <w:hyperlink w:anchor="_Toc157165771" w:history="1">
            <w:r w:rsidRPr="00417A21">
              <w:rPr>
                <w:rStyle w:val="Hyperlink"/>
                <w:b/>
                <w:noProof/>
              </w:rPr>
              <w:t>Best Practices Related to Developing &amp; Maintaining a Reliable Cost Estimate</w:t>
            </w:r>
            <w:r>
              <w:rPr>
                <w:noProof/>
                <w:webHidden/>
              </w:rPr>
              <w:tab/>
            </w:r>
            <w:r>
              <w:rPr>
                <w:noProof/>
                <w:webHidden/>
              </w:rPr>
              <w:fldChar w:fldCharType="begin"/>
            </w:r>
            <w:r>
              <w:rPr>
                <w:noProof/>
                <w:webHidden/>
              </w:rPr>
              <w:instrText xml:space="preserve"> PAGEREF _Toc157165771 \h </w:instrText>
            </w:r>
            <w:r>
              <w:rPr>
                <w:noProof/>
                <w:webHidden/>
              </w:rPr>
            </w:r>
            <w:r>
              <w:rPr>
                <w:noProof/>
                <w:webHidden/>
              </w:rPr>
              <w:fldChar w:fldCharType="separate"/>
            </w:r>
            <w:r w:rsidR="00207469">
              <w:rPr>
                <w:noProof/>
                <w:webHidden/>
              </w:rPr>
              <w:t>9</w:t>
            </w:r>
            <w:r>
              <w:rPr>
                <w:noProof/>
                <w:webHidden/>
              </w:rPr>
              <w:fldChar w:fldCharType="end"/>
            </w:r>
          </w:hyperlink>
        </w:p>
        <w:p w14:paraId="0F5C05F5" w14:textId="70248BE5" w:rsidR="00BE422B" w:rsidRDefault="00BE422B">
          <w:pPr>
            <w:pStyle w:val="TOC4"/>
            <w:tabs>
              <w:tab w:val="right" w:pos="9350"/>
            </w:tabs>
            <w:rPr>
              <w:noProof/>
            </w:rPr>
          </w:pPr>
          <w:hyperlink w:anchor="_Toc157165772" w:history="1">
            <w:r w:rsidRPr="00417A21">
              <w:rPr>
                <w:rStyle w:val="Hyperlink"/>
                <w:b/>
                <w:noProof/>
              </w:rPr>
              <w:t>The 12 Steps of the Cost Estimating Process (&amp; Related Best Practices)</w:t>
            </w:r>
            <w:r>
              <w:rPr>
                <w:noProof/>
                <w:webHidden/>
              </w:rPr>
              <w:tab/>
            </w:r>
            <w:r>
              <w:rPr>
                <w:noProof/>
                <w:webHidden/>
              </w:rPr>
              <w:fldChar w:fldCharType="begin"/>
            </w:r>
            <w:r>
              <w:rPr>
                <w:noProof/>
                <w:webHidden/>
              </w:rPr>
              <w:instrText xml:space="preserve"> PAGEREF _Toc157165772 \h </w:instrText>
            </w:r>
            <w:r>
              <w:rPr>
                <w:noProof/>
                <w:webHidden/>
              </w:rPr>
            </w:r>
            <w:r>
              <w:rPr>
                <w:noProof/>
                <w:webHidden/>
              </w:rPr>
              <w:fldChar w:fldCharType="separate"/>
            </w:r>
            <w:r w:rsidR="00207469">
              <w:rPr>
                <w:noProof/>
                <w:webHidden/>
              </w:rPr>
              <w:t>10</w:t>
            </w:r>
            <w:r>
              <w:rPr>
                <w:noProof/>
                <w:webHidden/>
              </w:rPr>
              <w:fldChar w:fldCharType="end"/>
            </w:r>
          </w:hyperlink>
        </w:p>
        <w:p w14:paraId="585D449F" w14:textId="3C6092EC" w:rsidR="00BE422B" w:rsidRDefault="00BE422B">
          <w:pPr>
            <w:pStyle w:val="TOC3"/>
            <w:tabs>
              <w:tab w:val="right" w:pos="9350"/>
            </w:tabs>
            <w:rPr>
              <w:noProof/>
            </w:rPr>
          </w:pPr>
          <w:hyperlink w:anchor="_Toc157165773" w:history="1">
            <w:r w:rsidRPr="00417A21">
              <w:rPr>
                <w:rStyle w:val="Hyperlink"/>
                <w:b/>
                <w:noProof/>
              </w:rPr>
              <w:t>Additional Resources &amp; Reference Material</w:t>
            </w:r>
            <w:r>
              <w:rPr>
                <w:noProof/>
                <w:webHidden/>
              </w:rPr>
              <w:tab/>
            </w:r>
            <w:r>
              <w:rPr>
                <w:noProof/>
                <w:webHidden/>
              </w:rPr>
              <w:fldChar w:fldCharType="begin"/>
            </w:r>
            <w:r>
              <w:rPr>
                <w:noProof/>
                <w:webHidden/>
              </w:rPr>
              <w:instrText xml:space="preserve"> PAGEREF _Toc157165773 \h </w:instrText>
            </w:r>
            <w:r>
              <w:rPr>
                <w:noProof/>
                <w:webHidden/>
              </w:rPr>
            </w:r>
            <w:r>
              <w:rPr>
                <w:noProof/>
                <w:webHidden/>
              </w:rPr>
              <w:fldChar w:fldCharType="separate"/>
            </w:r>
            <w:r w:rsidR="00207469">
              <w:rPr>
                <w:noProof/>
                <w:webHidden/>
              </w:rPr>
              <w:t>12</w:t>
            </w:r>
            <w:r>
              <w:rPr>
                <w:noProof/>
                <w:webHidden/>
              </w:rPr>
              <w:fldChar w:fldCharType="end"/>
            </w:r>
          </w:hyperlink>
        </w:p>
        <w:p w14:paraId="0D1E5F95" w14:textId="469588C1" w:rsidR="00BE422B" w:rsidRDefault="00BE422B">
          <w:pPr>
            <w:pStyle w:val="TOC4"/>
            <w:tabs>
              <w:tab w:val="right" w:pos="9350"/>
            </w:tabs>
            <w:rPr>
              <w:noProof/>
            </w:rPr>
          </w:pPr>
          <w:hyperlink w:anchor="_Toc157165774" w:history="1">
            <w:r w:rsidRPr="00417A21">
              <w:rPr>
                <w:rStyle w:val="Hyperlink"/>
                <w:b/>
                <w:noProof/>
              </w:rPr>
              <w:t>Digital Service Guidance</w:t>
            </w:r>
            <w:r>
              <w:rPr>
                <w:noProof/>
                <w:webHidden/>
              </w:rPr>
              <w:tab/>
            </w:r>
            <w:r>
              <w:rPr>
                <w:noProof/>
                <w:webHidden/>
              </w:rPr>
              <w:fldChar w:fldCharType="begin"/>
            </w:r>
            <w:r>
              <w:rPr>
                <w:noProof/>
                <w:webHidden/>
              </w:rPr>
              <w:instrText xml:space="preserve"> PAGEREF _Toc157165774 \h </w:instrText>
            </w:r>
            <w:r>
              <w:rPr>
                <w:noProof/>
                <w:webHidden/>
              </w:rPr>
            </w:r>
            <w:r>
              <w:rPr>
                <w:noProof/>
                <w:webHidden/>
              </w:rPr>
              <w:fldChar w:fldCharType="separate"/>
            </w:r>
            <w:r w:rsidR="00207469">
              <w:rPr>
                <w:noProof/>
                <w:webHidden/>
              </w:rPr>
              <w:t>12</w:t>
            </w:r>
            <w:r>
              <w:rPr>
                <w:noProof/>
                <w:webHidden/>
              </w:rPr>
              <w:fldChar w:fldCharType="end"/>
            </w:r>
          </w:hyperlink>
        </w:p>
        <w:p w14:paraId="6145861B" w14:textId="74FBA05A" w:rsidR="00BE422B" w:rsidRDefault="00BE422B">
          <w:pPr>
            <w:pStyle w:val="TOC4"/>
            <w:tabs>
              <w:tab w:val="right" w:pos="9350"/>
            </w:tabs>
            <w:rPr>
              <w:noProof/>
            </w:rPr>
          </w:pPr>
          <w:hyperlink w:anchor="_Toc157165775" w:history="1">
            <w:r w:rsidRPr="00417A21">
              <w:rPr>
                <w:rStyle w:val="Hyperlink"/>
                <w:b/>
                <w:noProof/>
              </w:rPr>
              <w:t>Training</w:t>
            </w:r>
            <w:r>
              <w:rPr>
                <w:noProof/>
                <w:webHidden/>
              </w:rPr>
              <w:tab/>
            </w:r>
            <w:r>
              <w:rPr>
                <w:noProof/>
                <w:webHidden/>
              </w:rPr>
              <w:fldChar w:fldCharType="begin"/>
            </w:r>
            <w:r>
              <w:rPr>
                <w:noProof/>
                <w:webHidden/>
              </w:rPr>
              <w:instrText xml:space="preserve"> PAGEREF _Toc157165775 \h </w:instrText>
            </w:r>
            <w:r>
              <w:rPr>
                <w:noProof/>
                <w:webHidden/>
              </w:rPr>
            </w:r>
            <w:r>
              <w:rPr>
                <w:noProof/>
                <w:webHidden/>
              </w:rPr>
              <w:fldChar w:fldCharType="separate"/>
            </w:r>
            <w:r w:rsidR="00207469">
              <w:rPr>
                <w:noProof/>
                <w:webHidden/>
              </w:rPr>
              <w:t>12</w:t>
            </w:r>
            <w:r>
              <w:rPr>
                <w:noProof/>
                <w:webHidden/>
              </w:rPr>
              <w:fldChar w:fldCharType="end"/>
            </w:r>
          </w:hyperlink>
        </w:p>
        <w:p w14:paraId="46A6E32E" w14:textId="4336B5BD" w:rsidR="00B964F0" w:rsidRDefault="00000000">
          <w:pPr>
            <w:widowControl w:val="0"/>
            <w:tabs>
              <w:tab w:val="right" w:pos="12000"/>
            </w:tabs>
            <w:spacing w:before="60" w:line="240" w:lineRule="auto"/>
            <w:ind w:left="360"/>
            <w:rPr>
              <w:color w:val="000000"/>
            </w:rPr>
          </w:pPr>
          <w:r>
            <w:fldChar w:fldCharType="end"/>
          </w:r>
        </w:p>
      </w:sdtContent>
    </w:sdt>
    <w:p w14:paraId="0B6631E2" w14:textId="77777777" w:rsidR="00B964F0" w:rsidRDefault="00B964F0">
      <w:pPr>
        <w:spacing w:line="240" w:lineRule="auto"/>
        <w:rPr>
          <w:sz w:val="24"/>
          <w:szCs w:val="24"/>
        </w:rPr>
      </w:pPr>
    </w:p>
    <w:p w14:paraId="6A945A3B" w14:textId="77777777" w:rsidR="00B964F0" w:rsidRDefault="00B964F0">
      <w:pPr>
        <w:spacing w:line="240" w:lineRule="auto"/>
        <w:rPr>
          <w:sz w:val="24"/>
          <w:szCs w:val="24"/>
        </w:rPr>
      </w:pPr>
    </w:p>
    <w:p w14:paraId="58566CF0" w14:textId="77777777" w:rsidR="00B964F0" w:rsidRDefault="00B964F0">
      <w:pPr>
        <w:spacing w:line="240" w:lineRule="auto"/>
        <w:rPr>
          <w:sz w:val="24"/>
          <w:szCs w:val="24"/>
        </w:rPr>
      </w:pPr>
    </w:p>
    <w:p w14:paraId="069E156C" w14:textId="77777777" w:rsidR="00B964F0" w:rsidRDefault="00B964F0">
      <w:pPr>
        <w:spacing w:line="240" w:lineRule="auto"/>
        <w:rPr>
          <w:sz w:val="24"/>
          <w:szCs w:val="24"/>
        </w:rPr>
      </w:pPr>
    </w:p>
    <w:p w14:paraId="79A888BA" w14:textId="77777777" w:rsidR="00B964F0" w:rsidRDefault="00B964F0">
      <w:pPr>
        <w:spacing w:line="240" w:lineRule="auto"/>
        <w:rPr>
          <w:sz w:val="24"/>
          <w:szCs w:val="24"/>
        </w:rPr>
      </w:pPr>
    </w:p>
    <w:p w14:paraId="51924620" w14:textId="77777777" w:rsidR="00B964F0" w:rsidRDefault="00B964F0">
      <w:pPr>
        <w:spacing w:line="240" w:lineRule="auto"/>
        <w:rPr>
          <w:sz w:val="24"/>
          <w:szCs w:val="24"/>
        </w:rPr>
      </w:pPr>
    </w:p>
    <w:p w14:paraId="73990B85" w14:textId="77777777" w:rsidR="00B964F0" w:rsidRDefault="00B964F0">
      <w:pPr>
        <w:spacing w:line="240" w:lineRule="auto"/>
        <w:rPr>
          <w:sz w:val="24"/>
          <w:szCs w:val="24"/>
        </w:rPr>
      </w:pPr>
    </w:p>
    <w:p w14:paraId="515BDB9C" w14:textId="77777777" w:rsidR="00B964F0" w:rsidRDefault="00B964F0">
      <w:pPr>
        <w:spacing w:line="240" w:lineRule="auto"/>
        <w:rPr>
          <w:sz w:val="24"/>
          <w:szCs w:val="24"/>
        </w:rPr>
      </w:pPr>
    </w:p>
    <w:p w14:paraId="4C04D7E6" w14:textId="77777777" w:rsidR="00B964F0" w:rsidRDefault="00B964F0">
      <w:pPr>
        <w:spacing w:line="240" w:lineRule="auto"/>
        <w:rPr>
          <w:sz w:val="24"/>
          <w:szCs w:val="24"/>
        </w:rPr>
      </w:pPr>
    </w:p>
    <w:p w14:paraId="70DB5F6E" w14:textId="77777777" w:rsidR="00B964F0" w:rsidRDefault="00000000">
      <w:pPr>
        <w:pStyle w:val="Heading3"/>
        <w:spacing w:line="240" w:lineRule="auto"/>
        <w:rPr>
          <w:sz w:val="24"/>
          <w:szCs w:val="24"/>
        </w:rPr>
      </w:pPr>
      <w:bookmarkStart w:id="0" w:name="_Toc157165756"/>
      <w:r>
        <w:rPr>
          <w:b/>
          <w:sz w:val="24"/>
          <w:szCs w:val="24"/>
        </w:rPr>
        <w:lastRenderedPageBreak/>
        <w:t>Introduction</w:t>
      </w:r>
      <w:bookmarkEnd w:id="0"/>
    </w:p>
    <w:p w14:paraId="2AE8E6BD" w14:textId="77777777" w:rsidR="00B964F0" w:rsidRDefault="00000000">
      <w:pPr>
        <w:spacing w:line="240" w:lineRule="auto"/>
        <w:rPr>
          <w:sz w:val="24"/>
          <w:szCs w:val="24"/>
        </w:rPr>
      </w:pPr>
      <w:r>
        <w:rPr>
          <w:sz w:val="24"/>
          <w:szCs w:val="24"/>
        </w:rPr>
        <w:t>The Technology Modernization Fund (TMF) uses estimates and milestones from Appendix B spreadsheets to evaluate financial information for project proposals and monitor investments. This document contains guidance to help agencies use the Appendix B spreadsheet template to develop and share estimated and actual costs for implementing projects with the TMF.</w:t>
      </w:r>
    </w:p>
    <w:p w14:paraId="43E8AA2A" w14:textId="77777777" w:rsidR="00B964F0" w:rsidRDefault="00B964F0">
      <w:pPr>
        <w:spacing w:line="240" w:lineRule="auto"/>
        <w:rPr>
          <w:sz w:val="24"/>
          <w:szCs w:val="24"/>
        </w:rPr>
      </w:pPr>
    </w:p>
    <w:p w14:paraId="4FD4EE5D" w14:textId="77777777" w:rsidR="00B964F0" w:rsidRDefault="00000000">
      <w:pPr>
        <w:spacing w:line="240" w:lineRule="auto"/>
        <w:rPr>
          <w:sz w:val="24"/>
          <w:szCs w:val="24"/>
        </w:rPr>
      </w:pPr>
      <w:r>
        <w:rPr>
          <w:b/>
          <w:sz w:val="24"/>
          <w:szCs w:val="24"/>
        </w:rPr>
        <w:t>All Full Project Proposals and Quarterly Check-ins (for active investments) must include a complete and updated Appendix B spreadsheet.</w:t>
      </w:r>
    </w:p>
    <w:p w14:paraId="36C94F36" w14:textId="77777777" w:rsidR="00B964F0" w:rsidRDefault="00000000">
      <w:pPr>
        <w:pStyle w:val="Heading3"/>
        <w:spacing w:line="240" w:lineRule="auto"/>
        <w:rPr>
          <w:sz w:val="24"/>
          <w:szCs w:val="24"/>
        </w:rPr>
      </w:pPr>
      <w:bookmarkStart w:id="1" w:name="_Toc157165757"/>
      <w:r>
        <w:rPr>
          <w:b/>
          <w:sz w:val="24"/>
          <w:szCs w:val="24"/>
        </w:rPr>
        <w:t>What TMF Looks for and Evaluates</w:t>
      </w:r>
      <w:bookmarkEnd w:id="1"/>
    </w:p>
    <w:p w14:paraId="63F093E5" w14:textId="77777777" w:rsidR="00B964F0" w:rsidRDefault="00000000">
      <w:pPr>
        <w:spacing w:line="240" w:lineRule="auto"/>
        <w:rPr>
          <w:sz w:val="24"/>
          <w:szCs w:val="24"/>
        </w:rPr>
      </w:pPr>
      <w:r>
        <w:rPr>
          <w:sz w:val="24"/>
          <w:szCs w:val="24"/>
        </w:rPr>
        <w:t>OMB, the PMO, and the TMF Board need to see the financial “before and after” investment picture to understand the financial impact of a TMF investment. Appendix B captures the necessary financial information to illustrate the costs of the status quo scenario if no TMF investment is applied so that it can be compared against estimated costs under a scenario with a TMF investment applied. Appendix B spreadsheets convey critical information about project proposals, including the business case, cost estimates, funding sources, critical milestones, repayment expectations, justifications, and project schedules. Each category is important and all information is reviewed together to understand each project proposal.</w:t>
      </w:r>
    </w:p>
    <w:p w14:paraId="1F66AAC2" w14:textId="77777777" w:rsidR="00B964F0" w:rsidRDefault="00B964F0">
      <w:pPr>
        <w:spacing w:line="240" w:lineRule="auto"/>
        <w:rPr>
          <w:sz w:val="24"/>
          <w:szCs w:val="24"/>
        </w:rPr>
      </w:pPr>
    </w:p>
    <w:p w14:paraId="40B1A3E7" w14:textId="77777777" w:rsidR="00B964F0" w:rsidRDefault="00000000">
      <w:pPr>
        <w:spacing w:line="240" w:lineRule="auto"/>
        <w:rPr>
          <w:sz w:val="24"/>
          <w:szCs w:val="24"/>
        </w:rPr>
      </w:pPr>
      <w:r>
        <w:rPr>
          <w:sz w:val="24"/>
          <w:szCs w:val="24"/>
        </w:rPr>
        <w:t>This section explains what the TMF expects to find and the expectations for a sound proposal.</w:t>
      </w:r>
    </w:p>
    <w:p w14:paraId="79E99D12" w14:textId="77777777" w:rsidR="00B964F0" w:rsidRDefault="00000000">
      <w:pPr>
        <w:pStyle w:val="Heading4"/>
        <w:spacing w:line="240" w:lineRule="auto"/>
      </w:pPr>
      <w:bookmarkStart w:id="2" w:name="_Toc157165758"/>
      <w:r>
        <w:rPr>
          <w:b/>
        </w:rPr>
        <w:t>Accurate Project Cost Estimates</w:t>
      </w:r>
      <w:bookmarkEnd w:id="2"/>
    </w:p>
    <w:p w14:paraId="123BB8AC" w14:textId="77777777" w:rsidR="00B964F0" w:rsidRDefault="00000000">
      <w:pPr>
        <w:spacing w:line="240" w:lineRule="auto"/>
        <w:rPr>
          <w:sz w:val="24"/>
          <w:szCs w:val="24"/>
        </w:rPr>
      </w:pPr>
      <w:r>
        <w:rPr>
          <w:sz w:val="24"/>
          <w:szCs w:val="24"/>
        </w:rPr>
        <w:t>Project proposals must contain a reliable estimate of costs, including estimates for cost savings</w:t>
      </w:r>
      <w:r>
        <w:rPr>
          <w:sz w:val="24"/>
          <w:szCs w:val="24"/>
          <w:vertAlign w:val="superscript"/>
        </w:rPr>
        <w:footnoteReference w:id="1"/>
      </w:r>
      <w:r>
        <w:rPr>
          <w:sz w:val="24"/>
          <w:szCs w:val="24"/>
        </w:rPr>
        <w:t xml:space="preserve"> and cost avoidance</w:t>
      </w:r>
      <w:r>
        <w:rPr>
          <w:sz w:val="24"/>
          <w:szCs w:val="24"/>
          <w:vertAlign w:val="superscript"/>
        </w:rPr>
        <w:footnoteReference w:id="2"/>
      </w:r>
      <w:r>
        <w:rPr>
          <w:sz w:val="24"/>
          <w:szCs w:val="24"/>
        </w:rPr>
        <w:t>. Prior to submission, these estimates must be approved by the agency’s Chief Financial Officer (CFO) and reviewed by the agency’s OMB Examiner. Given the various approvals, we recommend working with all relevant stakeholders throughout the process.</w:t>
      </w:r>
    </w:p>
    <w:p w14:paraId="18285F00" w14:textId="77777777" w:rsidR="00B964F0" w:rsidRDefault="00B964F0">
      <w:pPr>
        <w:spacing w:line="240" w:lineRule="auto"/>
        <w:rPr>
          <w:sz w:val="24"/>
          <w:szCs w:val="24"/>
        </w:rPr>
      </w:pPr>
    </w:p>
    <w:p w14:paraId="5FD14589" w14:textId="77777777" w:rsidR="00B964F0" w:rsidRDefault="00000000">
      <w:pPr>
        <w:spacing w:line="240" w:lineRule="auto"/>
        <w:rPr>
          <w:sz w:val="24"/>
          <w:szCs w:val="24"/>
        </w:rPr>
      </w:pPr>
      <w:r>
        <w:rPr>
          <w:sz w:val="24"/>
          <w:szCs w:val="24"/>
        </w:rPr>
        <w:t xml:space="preserve">Proposals should follow agency implementations of </w:t>
      </w:r>
      <w:hyperlink r:id="rId7">
        <w:r>
          <w:rPr>
            <w:color w:val="1155CC"/>
            <w:sz w:val="24"/>
            <w:szCs w:val="24"/>
            <w:u w:val="single"/>
          </w:rPr>
          <w:t>OMB Circular A-11</w:t>
        </w:r>
      </w:hyperlink>
      <w:r>
        <w:rPr>
          <w:sz w:val="24"/>
          <w:szCs w:val="24"/>
        </w:rPr>
        <w:t xml:space="preserve"> for project cost estimates and </w:t>
      </w:r>
      <w:hyperlink r:id="rId8">
        <w:r>
          <w:rPr>
            <w:color w:val="1155CC"/>
            <w:sz w:val="24"/>
            <w:szCs w:val="24"/>
            <w:u w:val="single"/>
          </w:rPr>
          <w:t>OMB Circular A-131</w:t>
        </w:r>
      </w:hyperlink>
      <w:r>
        <w:rPr>
          <w:sz w:val="24"/>
          <w:szCs w:val="24"/>
        </w:rPr>
        <w:t xml:space="preserve"> for value engineering. Consistent with </w:t>
      </w:r>
      <w:hyperlink r:id="rId9">
        <w:r>
          <w:rPr>
            <w:color w:val="1155CC"/>
            <w:sz w:val="24"/>
            <w:szCs w:val="24"/>
            <w:u w:val="single"/>
          </w:rPr>
          <w:t>OMB Circular No. A-11, Capital Programming Guide</w:t>
        </w:r>
      </w:hyperlink>
      <w:r>
        <w:rPr>
          <w:sz w:val="24"/>
          <w:szCs w:val="24"/>
        </w:rPr>
        <w:t xml:space="preserve">, credible cost estimates and early emphasis on cost-estimating during the planning phase is critical to the success of a project. </w:t>
      </w:r>
    </w:p>
    <w:p w14:paraId="7A657DFF" w14:textId="77777777" w:rsidR="00B964F0" w:rsidRDefault="00B964F0">
      <w:pPr>
        <w:spacing w:line="240" w:lineRule="auto"/>
        <w:rPr>
          <w:sz w:val="24"/>
          <w:szCs w:val="24"/>
        </w:rPr>
      </w:pPr>
    </w:p>
    <w:p w14:paraId="229F88B0" w14:textId="77777777" w:rsidR="00B964F0" w:rsidRDefault="00000000">
      <w:pPr>
        <w:spacing w:line="240" w:lineRule="auto"/>
        <w:rPr>
          <w:sz w:val="24"/>
          <w:szCs w:val="24"/>
        </w:rPr>
      </w:pPr>
      <w:r>
        <w:rPr>
          <w:sz w:val="24"/>
          <w:szCs w:val="24"/>
        </w:rPr>
        <w:t xml:space="preserve">The GAO </w:t>
      </w:r>
      <w:hyperlink r:id="rId10">
        <w:r>
          <w:rPr>
            <w:color w:val="1155CC"/>
            <w:sz w:val="24"/>
            <w:szCs w:val="24"/>
            <w:u w:val="single"/>
          </w:rPr>
          <w:t>Cost Estimating &amp; Assessment Guide: Best Practices for Developing and Managing Program Costs</w:t>
        </w:r>
      </w:hyperlink>
      <w:r>
        <w:rPr>
          <w:sz w:val="24"/>
          <w:szCs w:val="24"/>
        </w:rPr>
        <w:t xml:space="preserve"> provides detailed cost estimating guidance and best practices to help ensure the accuracy and completeness of the provided information, especially </w:t>
      </w:r>
      <w:r>
        <w:rPr>
          <w:sz w:val="24"/>
          <w:szCs w:val="24"/>
        </w:rPr>
        <w:lastRenderedPageBreak/>
        <w:t>as it relates to all 12 cost estimating elements/steps. An overview of key aspects of this Guide relevant to the TMF is included in this document.</w:t>
      </w:r>
    </w:p>
    <w:p w14:paraId="5D4B94BD" w14:textId="77777777" w:rsidR="00B964F0" w:rsidRDefault="00000000">
      <w:pPr>
        <w:spacing w:line="240" w:lineRule="auto"/>
        <w:rPr>
          <w:sz w:val="24"/>
          <w:szCs w:val="24"/>
        </w:rPr>
      </w:pPr>
      <w:r>
        <w:rPr>
          <w:sz w:val="24"/>
          <w:szCs w:val="24"/>
        </w:rPr>
        <w:t xml:space="preserve">As required by Section 1078 of the </w:t>
      </w:r>
      <w:hyperlink r:id="rId11">
        <w:r>
          <w:rPr>
            <w:color w:val="1155CC"/>
            <w:sz w:val="24"/>
            <w:szCs w:val="24"/>
            <w:u w:val="single"/>
          </w:rPr>
          <w:t>Modernizing Government Technology (MGT) Act</w:t>
        </w:r>
      </w:hyperlink>
      <w:r>
        <w:rPr>
          <w:sz w:val="24"/>
          <w:szCs w:val="24"/>
        </w:rPr>
        <w:t xml:space="preserve">, the U.S. Comptroller General annually assesses the reliability of the cost savings estimated by agencies associated with the projects funded by the TMF. </w:t>
      </w:r>
      <w:hyperlink r:id="rId12" w:anchor=":~:text=Publicly%20Released%3A%20Dec%2010%2C%202021,11%20projects%20received%20%2489%20million.">
        <w:r>
          <w:rPr>
            <w:color w:val="1155CC"/>
            <w:sz w:val="24"/>
            <w:szCs w:val="24"/>
            <w:u w:val="single"/>
          </w:rPr>
          <w:t xml:space="preserve">GAO’s December 10, 2021 </w:t>
        </w:r>
        <w:proofErr w:type="gramStart"/>
        <w:r>
          <w:rPr>
            <w:color w:val="1155CC"/>
            <w:sz w:val="24"/>
            <w:szCs w:val="24"/>
            <w:u w:val="single"/>
          </w:rPr>
          <w:t>report</w:t>
        </w:r>
        <w:proofErr w:type="gramEnd"/>
      </w:hyperlink>
      <w:r>
        <w:rPr>
          <w:sz w:val="24"/>
          <w:szCs w:val="24"/>
          <w:vertAlign w:val="superscript"/>
        </w:rPr>
        <w:footnoteReference w:id="3"/>
      </w:r>
      <w:r>
        <w:rPr>
          <w:sz w:val="24"/>
          <w:szCs w:val="24"/>
        </w:rPr>
        <w:t xml:space="preserve"> addressed the reliability of cost estimates and provided recommendations for improvement. </w:t>
      </w:r>
    </w:p>
    <w:p w14:paraId="3795F778" w14:textId="77777777" w:rsidR="00B964F0" w:rsidRDefault="00B964F0">
      <w:pPr>
        <w:spacing w:line="240" w:lineRule="auto"/>
        <w:rPr>
          <w:sz w:val="24"/>
          <w:szCs w:val="24"/>
        </w:rPr>
      </w:pPr>
    </w:p>
    <w:p w14:paraId="0F438426" w14:textId="77777777" w:rsidR="00B964F0" w:rsidRDefault="00000000">
      <w:pPr>
        <w:spacing w:line="240" w:lineRule="auto"/>
        <w:rPr>
          <w:sz w:val="24"/>
          <w:szCs w:val="24"/>
        </w:rPr>
      </w:pPr>
      <w:r>
        <w:rPr>
          <w:b/>
          <w:sz w:val="24"/>
          <w:szCs w:val="24"/>
        </w:rPr>
        <w:t>Additional Resources &amp; Training</w:t>
      </w:r>
      <w:r>
        <w:rPr>
          <w:sz w:val="24"/>
          <w:szCs w:val="24"/>
        </w:rPr>
        <w:t xml:space="preserve"> can be found via the </w:t>
      </w:r>
      <w:hyperlink r:id="rId13">
        <w:r>
          <w:rPr>
            <w:color w:val="1155CC"/>
            <w:sz w:val="24"/>
            <w:szCs w:val="24"/>
            <w:u w:val="single"/>
          </w:rPr>
          <w:t>Federal Acquisition Institute (FAI)</w:t>
        </w:r>
      </w:hyperlink>
      <w:r>
        <w:rPr>
          <w:sz w:val="24"/>
          <w:szCs w:val="24"/>
        </w:rPr>
        <w:t xml:space="preserve">, </w:t>
      </w:r>
      <w:hyperlink r:id="rId14">
        <w:r>
          <w:rPr>
            <w:color w:val="1155CC"/>
            <w:sz w:val="24"/>
            <w:szCs w:val="24"/>
            <w:u w:val="single"/>
          </w:rPr>
          <w:t>Defense Acquisition University (DAU)</w:t>
        </w:r>
      </w:hyperlink>
      <w:r>
        <w:rPr>
          <w:sz w:val="24"/>
          <w:szCs w:val="24"/>
        </w:rPr>
        <w:t xml:space="preserve">, </w:t>
      </w:r>
      <w:hyperlink r:id="rId15">
        <w:r>
          <w:rPr>
            <w:color w:val="1155CC"/>
            <w:sz w:val="24"/>
            <w:szCs w:val="24"/>
            <w:u w:val="single"/>
          </w:rPr>
          <w:t>Acquisition.gov</w:t>
        </w:r>
      </w:hyperlink>
      <w:r>
        <w:rPr>
          <w:sz w:val="24"/>
          <w:szCs w:val="24"/>
        </w:rPr>
        <w:t xml:space="preserve">, and the </w:t>
      </w:r>
      <w:hyperlink r:id="rId16">
        <w:r>
          <w:rPr>
            <w:color w:val="1155CC"/>
            <w:sz w:val="24"/>
            <w:szCs w:val="24"/>
            <w:u w:val="single"/>
          </w:rPr>
          <w:t>U.S. Government Accountability Office (GAO)</w:t>
        </w:r>
      </w:hyperlink>
      <w:r>
        <w:rPr>
          <w:sz w:val="24"/>
          <w:szCs w:val="24"/>
        </w:rPr>
        <w:t xml:space="preserve">. The </w:t>
      </w:r>
      <w:hyperlink r:id="rId17">
        <w:r>
          <w:rPr>
            <w:color w:val="1155CC"/>
            <w:sz w:val="24"/>
            <w:szCs w:val="24"/>
            <w:u w:val="single"/>
          </w:rPr>
          <w:t>GAO Cost Estimating &amp; Assessment Guide: Best Practices for Developing and Managing Program Costs</w:t>
        </w:r>
      </w:hyperlink>
      <w:r>
        <w:rPr>
          <w:sz w:val="24"/>
          <w:szCs w:val="24"/>
          <w:vertAlign w:val="superscript"/>
        </w:rPr>
        <w:footnoteReference w:id="4"/>
      </w:r>
      <w:r>
        <w:rPr>
          <w:sz w:val="24"/>
          <w:szCs w:val="24"/>
        </w:rPr>
        <w:t xml:space="preserve"> provides detailed cost estimating guidance and best practices to help ensure the accuracy and completeness. </w:t>
      </w:r>
    </w:p>
    <w:p w14:paraId="2C315935" w14:textId="77777777" w:rsidR="00B964F0" w:rsidRDefault="00000000">
      <w:pPr>
        <w:pStyle w:val="Heading4"/>
        <w:spacing w:line="240" w:lineRule="auto"/>
        <w:rPr>
          <w:b/>
        </w:rPr>
      </w:pPr>
      <w:bookmarkStart w:id="3" w:name="_Toc157165759"/>
      <w:r>
        <w:rPr>
          <w:b/>
        </w:rPr>
        <w:t>Financial Approach &amp; Analysis</w:t>
      </w:r>
      <w:bookmarkEnd w:id="3"/>
    </w:p>
    <w:p w14:paraId="7C3810F4" w14:textId="77777777" w:rsidR="00B964F0" w:rsidRDefault="00000000">
      <w:pPr>
        <w:spacing w:line="240" w:lineRule="auto"/>
        <w:rPr>
          <w:sz w:val="24"/>
          <w:szCs w:val="24"/>
        </w:rPr>
      </w:pPr>
      <w:r>
        <w:rPr>
          <w:sz w:val="24"/>
          <w:szCs w:val="24"/>
        </w:rPr>
        <w:t>Review the table below for descriptions of what is expected for each category related to the project’s financial approach and analysis.</w:t>
      </w:r>
    </w:p>
    <w:p w14:paraId="0DEF6485" w14:textId="77777777" w:rsidR="00B964F0" w:rsidRDefault="00B964F0">
      <w:pPr>
        <w:spacing w:line="240" w:lineRule="auto"/>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785"/>
        <w:gridCol w:w="6810"/>
      </w:tblGrid>
      <w:tr w:rsidR="00B964F0" w14:paraId="15E9531D" w14:textId="77777777">
        <w:trPr>
          <w:trHeight w:val="440"/>
        </w:trPr>
        <w:tc>
          <w:tcPr>
            <w:tcW w:w="9360" w:type="dxa"/>
            <w:gridSpan w:val="3"/>
            <w:shd w:val="clear" w:color="auto" w:fill="auto"/>
            <w:tcMar>
              <w:top w:w="100" w:type="dxa"/>
              <w:left w:w="100" w:type="dxa"/>
              <w:bottom w:w="100" w:type="dxa"/>
              <w:right w:w="100" w:type="dxa"/>
            </w:tcMar>
          </w:tcPr>
          <w:p w14:paraId="33EFE9CE" w14:textId="77777777" w:rsidR="00B964F0" w:rsidRDefault="00000000">
            <w:pPr>
              <w:widowControl w:val="0"/>
              <w:pBdr>
                <w:top w:val="nil"/>
                <w:left w:val="nil"/>
                <w:bottom w:val="nil"/>
                <w:right w:val="nil"/>
                <w:between w:val="nil"/>
              </w:pBdr>
              <w:spacing w:line="240" w:lineRule="auto"/>
              <w:jc w:val="center"/>
              <w:rPr>
                <w:b/>
                <w:sz w:val="24"/>
                <w:szCs w:val="24"/>
              </w:rPr>
            </w:pPr>
            <w:r>
              <w:rPr>
                <w:b/>
                <w:sz w:val="24"/>
                <w:szCs w:val="24"/>
              </w:rPr>
              <w:t>Financial Approach &amp; Analysis</w:t>
            </w:r>
          </w:p>
        </w:tc>
      </w:tr>
      <w:tr w:rsidR="00B964F0" w14:paraId="0613C4E9" w14:textId="77777777">
        <w:tc>
          <w:tcPr>
            <w:tcW w:w="765" w:type="dxa"/>
            <w:shd w:val="clear" w:color="auto" w:fill="auto"/>
            <w:tcMar>
              <w:top w:w="100" w:type="dxa"/>
              <w:left w:w="100" w:type="dxa"/>
              <w:bottom w:w="100" w:type="dxa"/>
              <w:right w:w="100" w:type="dxa"/>
            </w:tcMar>
          </w:tcPr>
          <w:p w14:paraId="332639C1" w14:textId="77777777" w:rsidR="00B964F0" w:rsidRDefault="00000000">
            <w:pPr>
              <w:widowControl w:val="0"/>
              <w:pBdr>
                <w:top w:val="nil"/>
                <w:left w:val="nil"/>
                <w:bottom w:val="nil"/>
                <w:right w:val="nil"/>
                <w:between w:val="nil"/>
              </w:pBdr>
              <w:spacing w:line="240" w:lineRule="auto"/>
              <w:jc w:val="center"/>
              <w:rPr>
                <w:b/>
                <w:sz w:val="24"/>
                <w:szCs w:val="24"/>
              </w:rPr>
            </w:pPr>
            <w:r>
              <w:rPr>
                <w:b/>
                <w:sz w:val="24"/>
                <w:szCs w:val="24"/>
              </w:rPr>
              <w:t>#</w:t>
            </w:r>
          </w:p>
        </w:tc>
        <w:tc>
          <w:tcPr>
            <w:tcW w:w="1785" w:type="dxa"/>
            <w:shd w:val="clear" w:color="auto" w:fill="auto"/>
            <w:tcMar>
              <w:top w:w="100" w:type="dxa"/>
              <w:left w:w="100" w:type="dxa"/>
              <w:bottom w:w="100" w:type="dxa"/>
              <w:right w:w="100" w:type="dxa"/>
            </w:tcMar>
          </w:tcPr>
          <w:p w14:paraId="5C82801F" w14:textId="77777777" w:rsidR="00B964F0" w:rsidRDefault="00000000">
            <w:pPr>
              <w:widowControl w:val="0"/>
              <w:pBdr>
                <w:top w:val="nil"/>
                <w:left w:val="nil"/>
                <w:bottom w:val="nil"/>
                <w:right w:val="nil"/>
                <w:between w:val="nil"/>
              </w:pBdr>
              <w:spacing w:line="240" w:lineRule="auto"/>
              <w:jc w:val="center"/>
              <w:rPr>
                <w:b/>
                <w:sz w:val="24"/>
                <w:szCs w:val="24"/>
              </w:rPr>
            </w:pPr>
            <w:r>
              <w:rPr>
                <w:b/>
                <w:sz w:val="24"/>
                <w:szCs w:val="24"/>
              </w:rPr>
              <w:t>Categories</w:t>
            </w:r>
          </w:p>
        </w:tc>
        <w:tc>
          <w:tcPr>
            <w:tcW w:w="6810" w:type="dxa"/>
            <w:shd w:val="clear" w:color="auto" w:fill="auto"/>
            <w:tcMar>
              <w:top w:w="100" w:type="dxa"/>
              <w:left w:w="100" w:type="dxa"/>
              <w:bottom w:w="100" w:type="dxa"/>
              <w:right w:w="100" w:type="dxa"/>
            </w:tcMar>
          </w:tcPr>
          <w:p w14:paraId="157A0B64" w14:textId="77777777" w:rsidR="00B964F0" w:rsidRDefault="00000000">
            <w:pPr>
              <w:widowControl w:val="0"/>
              <w:pBdr>
                <w:top w:val="nil"/>
                <w:left w:val="nil"/>
                <w:bottom w:val="nil"/>
                <w:right w:val="nil"/>
                <w:between w:val="nil"/>
              </w:pBdr>
              <w:spacing w:line="240" w:lineRule="auto"/>
              <w:jc w:val="center"/>
              <w:rPr>
                <w:b/>
                <w:sz w:val="24"/>
                <w:szCs w:val="24"/>
              </w:rPr>
            </w:pPr>
            <w:r>
              <w:rPr>
                <w:b/>
                <w:sz w:val="24"/>
                <w:szCs w:val="24"/>
              </w:rPr>
              <w:t>Description</w:t>
            </w:r>
          </w:p>
        </w:tc>
      </w:tr>
      <w:tr w:rsidR="00B964F0" w14:paraId="7DCF2B1D" w14:textId="77777777">
        <w:tc>
          <w:tcPr>
            <w:tcW w:w="765" w:type="dxa"/>
            <w:shd w:val="clear" w:color="auto" w:fill="auto"/>
            <w:tcMar>
              <w:top w:w="100" w:type="dxa"/>
              <w:left w:w="100" w:type="dxa"/>
              <w:bottom w:w="100" w:type="dxa"/>
              <w:right w:w="100" w:type="dxa"/>
            </w:tcMar>
          </w:tcPr>
          <w:p w14:paraId="3F75E05B" w14:textId="77777777" w:rsidR="00B964F0" w:rsidRDefault="00000000">
            <w:pPr>
              <w:widowControl w:val="0"/>
              <w:spacing w:line="240" w:lineRule="auto"/>
              <w:jc w:val="center"/>
              <w:rPr>
                <w:sz w:val="24"/>
                <w:szCs w:val="24"/>
              </w:rPr>
            </w:pPr>
            <w:r>
              <w:rPr>
                <w:sz w:val="24"/>
                <w:szCs w:val="24"/>
              </w:rPr>
              <w:t>1</w:t>
            </w:r>
          </w:p>
        </w:tc>
        <w:tc>
          <w:tcPr>
            <w:tcW w:w="1785" w:type="dxa"/>
            <w:shd w:val="clear" w:color="auto" w:fill="auto"/>
            <w:tcMar>
              <w:top w:w="100" w:type="dxa"/>
              <w:left w:w="100" w:type="dxa"/>
              <w:bottom w:w="100" w:type="dxa"/>
              <w:right w:w="100" w:type="dxa"/>
            </w:tcMar>
          </w:tcPr>
          <w:p w14:paraId="282CE85D" w14:textId="77777777" w:rsidR="00B964F0" w:rsidRDefault="00000000">
            <w:pPr>
              <w:widowControl w:val="0"/>
              <w:spacing w:line="240" w:lineRule="auto"/>
              <w:rPr>
                <w:sz w:val="24"/>
                <w:szCs w:val="24"/>
              </w:rPr>
            </w:pPr>
            <w:r>
              <w:rPr>
                <w:sz w:val="24"/>
                <w:szCs w:val="24"/>
              </w:rPr>
              <w:t>Guideline Adherence</w:t>
            </w:r>
          </w:p>
        </w:tc>
        <w:tc>
          <w:tcPr>
            <w:tcW w:w="6810" w:type="dxa"/>
            <w:shd w:val="clear" w:color="auto" w:fill="auto"/>
            <w:tcMar>
              <w:top w:w="100" w:type="dxa"/>
              <w:left w:w="100" w:type="dxa"/>
              <w:bottom w:w="100" w:type="dxa"/>
              <w:right w:w="100" w:type="dxa"/>
            </w:tcMar>
          </w:tcPr>
          <w:p w14:paraId="5DDB0170" w14:textId="77777777" w:rsidR="00B964F0" w:rsidRDefault="00000000">
            <w:pPr>
              <w:widowControl w:val="0"/>
              <w:numPr>
                <w:ilvl w:val="0"/>
                <w:numId w:val="6"/>
              </w:numPr>
              <w:spacing w:line="240" w:lineRule="auto"/>
              <w:rPr>
                <w:sz w:val="24"/>
                <w:szCs w:val="24"/>
              </w:rPr>
            </w:pPr>
            <w:hyperlink r:id="rId18">
              <w:r>
                <w:rPr>
                  <w:color w:val="1155CC"/>
                  <w:sz w:val="24"/>
                  <w:szCs w:val="24"/>
                  <w:u w:val="single"/>
                </w:rPr>
                <w:t>American Rescue Plan (ARP) Guidelines</w:t>
              </w:r>
            </w:hyperlink>
            <w:r>
              <w:rPr>
                <w:sz w:val="24"/>
                <w:szCs w:val="24"/>
              </w:rPr>
              <w:t xml:space="preserve"> and</w:t>
            </w:r>
          </w:p>
          <w:p w14:paraId="35D314BB" w14:textId="77777777" w:rsidR="00B964F0" w:rsidRDefault="00000000">
            <w:pPr>
              <w:numPr>
                <w:ilvl w:val="0"/>
                <w:numId w:val="6"/>
              </w:numPr>
              <w:spacing w:line="240" w:lineRule="auto"/>
              <w:rPr>
                <w:sz w:val="24"/>
                <w:szCs w:val="24"/>
              </w:rPr>
            </w:pPr>
            <w:hyperlink r:id="rId19">
              <w:r>
                <w:rPr>
                  <w:color w:val="1155CC"/>
                  <w:sz w:val="24"/>
                  <w:szCs w:val="24"/>
                  <w:u w:val="single"/>
                </w:rPr>
                <w:t>TMF Funding Guidelines</w:t>
              </w:r>
            </w:hyperlink>
          </w:p>
        </w:tc>
      </w:tr>
      <w:tr w:rsidR="00B964F0" w14:paraId="421F1824" w14:textId="77777777">
        <w:tc>
          <w:tcPr>
            <w:tcW w:w="765" w:type="dxa"/>
            <w:shd w:val="clear" w:color="auto" w:fill="auto"/>
            <w:tcMar>
              <w:top w:w="100" w:type="dxa"/>
              <w:left w:w="100" w:type="dxa"/>
              <w:bottom w:w="100" w:type="dxa"/>
              <w:right w:w="100" w:type="dxa"/>
            </w:tcMar>
          </w:tcPr>
          <w:p w14:paraId="0FB5E7EE" w14:textId="77777777" w:rsidR="00B964F0" w:rsidRDefault="00000000">
            <w:pPr>
              <w:widowControl w:val="0"/>
              <w:pBdr>
                <w:top w:val="nil"/>
                <w:left w:val="nil"/>
                <w:bottom w:val="nil"/>
                <w:right w:val="nil"/>
                <w:between w:val="nil"/>
              </w:pBdr>
              <w:spacing w:line="240" w:lineRule="auto"/>
              <w:jc w:val="center"/>
              <w:rPr>
                <w:sz w:val="24"/>
                <w:szCs w:val="24"/>
              </w:rPr>
            </w:pPr>
            <w:r>
              <w:rPr>
                <w:sz w:val="24"/>
                <w:szCs w:val="24"/>
              </w:rPr>
              <w:t>2</w:t>
            </w:r>
          </w:p>
        </w:tc>
        <w:tc>
          <w:tcPr>
            <w:tcW w:w="1785" w:type="dxa"/>
            <w:shd w:val="clear" w:color="auto" w:fill="auto"/>
            <w:tcMar>
              <w:top w:w="100" w:type="dxa"/>
              <w:left w:w="100" w:type="dxa"/>
              <w:bottom w:w="100" w:type="dxa"/>
              <w:right w:w="100" w:type="dxa"/>
            </w:tcMar>
          </w:tcPr>
          <w:p w14:paraId="508F5A9E" w14:textId="77777777" w:rsidR="00B964F0" w:rsidRDefault="00000000">
            <w:pPr>
              <w:widowControl w:val="0"/>
              <w:pBdr>
                <w:top w:val="nil"/>
                <w:left w:val="nil"/>
                <w:bottom w:val="nil"/>
                <w:right w:val="nil"/>
                <w:between w:val="nil"/>
              </w:pBdr>
              <w:spacing w:line="240" w:lineRule="auto"/>
              <w:rPr>
                <w:sz w:val="24"/>
                <w:szCs w:val="24"/>
              </w:rPr>
            </w:pPr>
            <w:r>
              <w:rPr>
                <w:sz w:val="24"/>
                <w:szCs w:val="24"/>
              </w:rPr>
              <w:t>Completeness</w:t>
            </w:r>
          </w:p>
        </w:tc>
        <w:tc>
          <w:tcPr>
            <w:tcW w:w="6810" w:type="dxa"/>
            <w:shd w:val="clear" w:color="auto" w:fill="auto"/>
            <w:tcMar>
              <w:top w:w="100" w:type="dxa"/>
              <w:left w:w="100" w:type="dxa"/>
              <w:bottom w:w="100" w:type="dxa"/>
              <w:right w:w="100" w:type="dxa"/>
            </w:tcMar>
          </w:tcPr>
          <w:p w14:paraId="26945257" w14:textId="77777777" w:rsidR="00B964F0" w:rsidRDefault="00000000">
            <w:pPr>
              <w:widowControl w:val="0"/>
              <w:numPr>
                <w:ilvl w:val="0"/>
                <w:numId w:val="14"/>
              </w:numPr>
              <w:pBdr>
                <w:top w:val="nil"/>
                <w:left w:val="nil"/>
                <w:bottom w:val="nil"/>
                <w:right w:val="nil"/>
                <w:between w:val="nil"/>
              </w:pBdr>
              <w:spacing w:line="240" w:lineRule="auto"/>
              <w:rPr>
                <w:sz w:val="24"/>
                <w:szCs w:val="24"/>
              </w:rPr>
            </w:pPr>
            <w:r>
              <w:rPr>
                <w:sz w:val="24"/>
                <w:szCs w:val="24"/>
              </w:rPr>
              <w:t>Completely filled out</w:t>
            </w:r>
          </w:p>
          <w:p w14:paraId="23279F83" w14:textId="77777777" w:rsidR="00B964F0" w:rsidRDefault="00000000">
            <w:pPr>
              <w:widowControl w:val="0"/>
              <w:numPr>
                <w:ilvl w:val="0"/>
                <w:numId w:val="14"/>
              </w:numPr>
              <w:pBdr>
                <w:top w:val="nil"/>
                <w:left w:val="nil"/>
                <w:bottom w:val="nil"/>
                <w:right w:val="nil"/>
                <w:between w:val="nil"/>
              </w:pBdr>
              <w:spacing w:line="240" w:lineRule="auto"/>
              <w:rPr>
                <w:sz w:val="24"/>
                <w:szCs w:val="24"/>
              </w:rPr>
            </w:pPr>
            <w:r>
              <w:rPr>
                <w:sz w:val="24"/>
                <w:szCs w:val="24"/>
              </w:rPr>
              <w:t>Justification provided for any incomplete section</w:t>
            </w:r>
          </w:p>
        </w:tc>
      </w:tr>
      <w:tr w:rsidR="00B964F0" w14:paraId="47A6A305" w14:textId="77777777">
        <w:tc>
          <w:tcPr>
            <w:tcW w:w="765" w:type="dxa"/>
            <w:shd w:val="clear" w:color="auto" w:fill="auto"/>
            <w:tcMar>
              <w:top w:w="100" w:type="dxa"/>
              <w:left w:w="100" w:type="dxa"/>
              <w:bottom w:w="100" w:type="dxa"/>
              <w:right w:w="100" w:type="dxa"/>
            </w:tcMar>
          </w:tcPr>
          <w:p w14:paraId="3DEDF5B8" w14:textId="77777777" w:rsidR="00B964F0" w:rsidRDefault="00000000">
            <w:pPr>
              <w:widowControl w:val="0"/>
              <w:pBdr>
                <w:top w:val="nil"/>
                <w:left w:val="nil"/>
                <w:bottom w:val="nil"/>
                <w:right w:val="nil"/>
                <w:between w:val="nil"/>
              </w:pBdr>
              <w:spacing w:line="240" w:lineRule="auto"/>
              <w:jc w:val="center"/>
              <w:rPr>
                <w:sz w:val="24"/>
                <w:szCs w:val="24"/>
              </w:rPr>
            </w:pPr>
            <w:r>
              <w:rPr>
                <w:sz w:val="24"/>
                <w:szCs w:val="24"/>
              </w:rPr>
              <w:t>3</w:t>
            </w:r>
          </w:p>
        </w:tc>
        <w:tc>
          <w:tcPr>
            <w:tcW w:w="1785" w:type="dxa"/>
            <w:shd w:val="clear" w:color="auto" w:fill="auto"/>
            <w:tcMar>
              <w:top w:w="100" w:type="dxa"/>
              <w:left w:w="100" w:type="dxa"/>
              <w:bottom w:w="100" w:type="dxa"/>
              <w:right w:w="100" w:type="dxa"/>
            </w:tcMar>
          </w:tcPr>
          <w:p w14:paraId="6CF8691C" w14:textId="77777777" w:rsidR="00B964F0" w:rsidRDefault="00000000">
            <w:pPr>
              <w:widowControl w:val="0"/>
              <w:pBdr>
                <w:top w:val="nil"/>
                <w:left w:val="nil"/>
                <w:bottom w:val="nil"/>
                <w:right w:val="nil"/>
                <w:between w:val="nil"/>
              </w:pBdr>
              <w:spacing w:line="240" w:lineRule="auto"/>
              <w:rPr>
                <w:sz w:val="24"/>
                <w:szCs w:val="24"/>
              </w:rPr>
            </w:pPr>
            <w:r>
              <w:rPr>
                <w:sz w:val="24"/>
                <w:szCs w:val="24"/>
              </w:rPr>
              <w:t>Business Case</w:t>
            </w:r>
          </w:p>
        </w:tc>
        <w:tc>
          <w:tcPr>
            <w:tcW w:w="6810" w:type="dxa"/>
            <w:shd w:val="clear" w:color="auto" w:fill="auto"/>
            <w:tcMar>
              <w:top w:w="100" w:type="dxa"/>
              <w:left w:w="100" w:type="dxa"/>
              <w:bottom w:w="100" w:type="dxa"/>
              <w:right w:w="100" w:type="dxa"/>
            </w:tcMar>
          </w:tcPr>
          <w:p w14:paraId="10E54C23" w14:textId="77777777" w:rsidR="00B964F0" w:rsidRDefault="00000000">
            <w:pPr>
              <w:widowControl w:val="0"/>
              <w:numPr>
                <w:ilvl w:val="0"/>
                <w:numId w:val="18"/>
              </w:numPr>
              <w:pBdr>
                <w:top w:val="nil"/>
                <w:left w:val="nil"/>
                <w:bottom w:val="nil"/>
                <w:right w:val="nil"/>
                <w:between w:val="nil"/>
              </w:pBdr>
              <w:spacing w:line="240" w:lineRule="auto"/>
              <w:rPr>
                <w:sz w:val="24"/>
                <w:szCs w:val="24"/>
              </w:rPr>
            </w:pPr>
            <w:r>
              <w:rPr>
                <w:sz w:val="24"/>
                <w:szCs w:val="24"/>
              </w:rPr>
              <w:t>Logical, financially-sound modernization approach</w:t>
            </w:r>
          </w:p>
        </w:tc>
      </w:tr>
      <w:tr w:rsidR="00B964F0" w14:paraId="4BCDFC48" w14:textId="77777777">
        <w:tc>
          <w:tcPr>
            <w:tcW w:w="765" w:type="dxa"/>
            <w:shd w:val="clear" w:color="auto" w:fill="auto"/>
            <w:tcMar>
              <w:top w:w="100" w:type="dxa"/>
              <w:left w:w="100" w:type="dxa"/>
              <w:bottom w:w="100" w:type="dxa"/>
              <w:right w:w="100" w:type="dxa"/>
            </w:tcMar>
          </w:tcPr>
          <w:p w14:paraId="5EC8DB85" w14:textId="77777777" w:rsidR="00B964F0" w:rsidRDefault="00000000">
            <w:pPr>
              <w:widowControl w:val="0"/>
              <w:pBdr>
                <w:top w:val="nil"/>
                <w:left w:val="nil"/>
                <w:bottom w:val="nil"/>
                <w:right w:val="nil"/>
                <w:between w:val="nil"/>
              </w:pBdr>
              <w:spacing w:line="240" w:lineRule="auto"/>
              <w:jc w:val="center"/>
              <w:rPr>
                <w:sz w:val="24"/>
                <w:szCs w:val="24"/>
              </w:rPr>
            </w:pPr>
            <w:r>
              <w:rPr>
                <w:sz w:val="24"/>
                <w:szCs w:val="24"/>
              </w:rPr>
              <w:t>4</w:t>
            </w:r>
          </w:p>
        </w:tc>
        <w:tc>
          <w:tcPr>
            <w:tcW w:w="1785" w:type="dxa"/>
            <w:shd w:val="clear" w:color="auto" w:fill="auto"/>
            <w:tcMar>
              <w:top w:w="100" w:type="dxa"/>
              <w:left w:w="100" w:type="dxa"/>
              <w:bottom w:w="100" w:type="dxa"/>
              <w:right w:w="100" w:type="dxa"/>
            </w:tcMar>
          </w:tcPr>
          <w:p w14:paraId="5A9A5BF3" w14:textId="77777777" w:rsidR="00B964F0" w:rsidRDefault="00000000">
            <w:pPr>
              <w:widowControl w:val="0"/>
              <w:pBdr>
                <w:top w:val="nil"/>
                <w:left w:val="nil"/>
                <w:bottom w:val="nil"/>
                <w:right w:val="nil"/>
                <w:between w:val="nil"/>
              </w:pBdr>
              <w:spacing w:line="240" w:lineRule="auto"/>
              <w:rPr>
                <w:sz w:val="24"/>
                <w:szCs w:val="24"/>
              </w:rPr>
            </w:pPr>
            <w:r>
              <w:rPr>
                <w:sz w:val="24"/>
                <w:szCs w:val="24"/>
              </w:rPr>
              <w:t>Funding Sources</w:t>
            </w:r>
          </w:p>
        </w:tc>
        <w:tc>
          <w:tcPr>
            <w:tcW w:w="6810" w:type="dxa"/>
            <w:shd w:val="clear" w:color="auto" w:fill="auto"/>
            <w:tcMar>
              <w:top w:w="100" w:type="dxa"/>
              <w:left w:w="100" w:type="dxa"/>
              <w:bottom w:w="100" w:type="dxa"/>
              <w:right w:w="100" w:type="dxa"/>
            </w:tcMar>
          </w:tcPr>
          <w:p w14:paraId="6EC662EC" w14:textId="77777777" w:rsidR="00B964F0" w:rsidRDefault="00000000">
            <w:pPr>
              <w:numPr>
                <w:ilvl w:val="0"/>
                <w:numId w:val="4"/>
              </w:numPr>
              <w:spacing w:line="240" w:lineRule="auto"/>
              <w:rPr>
                <w:sz w:val="24"/>
                <w:szCs w:val="24"/>
              </w:rPr>
            </w:pPr>
            <w:r>
              <w:rPr>
                <w:sz w:val="24"/>
                <w:szCs w:val="24"/>
              </w:rPr>
              <w:t>Project is primarily TMF-funded &amp;/or includes Agency investment</w:t>
            </w:r>
          </w:p>
        </w:tc>
      </w:tr>
      <w:tr w:rsidR="00B964F0" w14:paraId="5BFA653D" w14:textId="77777777">
        <w:tc>
          <w:tcPr>
            <w:tcW w:w="765" w:type="dxa"/>
            <w:shd w:val="clear" w:color="auto" w:fill="auto"/>
            <w:tcMar>
              <w:top w:w="100" w:type="dxa"/>
              <w:left w:w="100" w:type="dxa"/>
              <w:bottom w:w="100" w:type="dxa"/>
              <w:right w:w="100" w:type="dxa"/>
            </w:tcMar>
          </w:tcPr>
          <w:p w14:paraId="38543C6F" w14:textId="77777777" w:rsidR="00B964F0" w:rsidRDefault="00000000">
            <w:pPr>
              <w:widowControl w:val="0"/>
              <w:pBdr>
                <w:top w:val="nil"/>
                <w:left w:val="nil"/>
                <w:bottom w:val="nil"/>
                <w:right w:val="nil"/>
                <w:between w:val="nil"/>
              </w:pBdr>
              <w:spacing w:line="240" w:lineRule="auto"/>
              <w:jc w:val="center"/>
              <w:rPr>
                <w:sz w:val="24"/>
                <w:szCs w:val="24"/>
              </w:rPr>
            </w:pPr>
            <w:r>
              <w:rPr>
                <w:sz w:val="24"/>
                <w:szCs w:val="24"/>
              </w:rPr>
              <w:t>5</w:t>
            </w:r>
          </w:p>
        </w:tc>
        <w:tc>
          <w:tcPr>
            <w:tcW w:w="1785" w:type="dxa"/>
            <w:shd w:val="clear" w:color="auto" w:fill="auto"/>
            <w:tcMar>
              <w:top w:w="100" w:type="dxa"/>
              <w:left w:w="100" w:type="dxa"/>
              <w:bottom w:w="100" w:type="dxa"/>
              <w:right w:w="100" w:type="dxa"/>
            </w:tcMar>
          </w:tcPr>
          <w:p w14:paraId="129F45D8" w14:textId="77777777" w:rsidR="00B964F0" w:rsidRDefault="00000000">
            <w:pPr>
              <w:widowControl w:val="0"/>
              <w:pBdr>
                <w:top w:val="nil"/>
                <w:left w:val="nil"/>
                <w:bottom w:val="nil"/>
                <w:right w:val="nil"/>
                <w:between w:val="nil"/>
              </w:pBdr>
              <w:spacing w:line="240" w:lineRule="auto"/>
              <w:rPr>
                <w:sz w:val="24"/>
                <w:szCs w:val="24"/>
              </w:rPr>
            </w:pPr>
            <w:r>
              <w:rPr>
                <w:sz w:val="24"/>
                <w:szCs w:val="24"/>
              </w:rPr>
              <w:t>Funding Level</w:t>
            </w:r>
          </w:p>
        </w:tc>
        <w:tc>
          <w:tcPr>
            <w:tcW w:w="6810" w:type="dxa"/>
            <w:shd w:val="clear" w:color="auto" w:fill="auto"/>
            <w:tcMar>
              <w:top w:w="100" w:type="dxa"/>
              <w:left w:w="100" w:type="dxa"/>
              <w:bottom w:w="100" w:type="dxa"/>
              <w:right w:w="100" w:type="dxa"/>
            </w:tcMar>
          </w:tcPr>
          <w:p w14:paraId="034728F1" w14:textId="77777777" w:rsidR="00B964F0" w:rsidRDefault="00000000">
            <w:pPr>
              <w:widowControl w:val="0"/>
              <w:numPr>
                <w:ilvl w:val="0"/>
                <w:numId w:val="2"/>
              </w:numPr>
              <w:pBdr>
                <w:top w:val="nil"/>
                <w:left w:val="nil"/>
                <w:bottom w:val="nil"/>
                <w:right w:val="nil"/>
                <w:between w:val="nil"/>
              </w:pBdr>
              <w:spacing w:line="240" w:lineRule="auto"/>
              <w:rPr>
                <w:sz w:val="24"/>
                <w:szCs w:val="24"/>
              </w:rPr>
            </w:pPr>
            <w:r>
              <w:rPr>
                <w:sz w:val="24"/>
                <w:szCs w:val="24"/>
              </w:rPr>
              <w:t>Agency investment (</w:t>
            </w:r>
            <w:proofErr w:type="gramStart"/>
            <w:r>
              <w:rPr>
                <w:sz w:val="24"/>
                <w:szCs w:val="24"/>
              </w:rPr>
              <w:t>i.e.</w:t>
            </w:r>
            <w:proofErr w:type="gramEnd"/>
            <w:r>
              <w:rPr>
                <w:sz w:val="24"/>
                <w:szCs w:val="24"/>
              </w:rPr>
              <w:t xml:space="preserve"> Current/Baseline vs Proposed) aligns with current (baseline) agency costs. </w:t>
            </w:r>
          </w:p>
        </w:tc>
      </w:tr>
      <w:tr w:rsidR="00B964F0" w14:paraId="34C2EBFE" w14:textId="77777777">
        <w:tc>
          <w:tcPr>
            <w:tcW w:w="765" w:type="dxa"/>
            <w:shd w:val="clear" w:color="auto" w:fill="auto"/>
            <w:tcMar>
              <w:top w:w="100" w:type="dxa"/>
              <w:left w:w="100" w:type="dxa"/>
              <w:bottom w:w="100" w:type="dxa"/>
              <w:right w:w="100" w:type="dxa"/>
            </w:tcMar>
          </w:tcPr>
          <w:p w14:paraId="300ABE23" w14:textId="77777777" w:rsidR="00B964F0" w:rsidRDefault="00000000">
            <w:pPr>
              <w:widowControl w:val="0"/>
              <w:pBdr>
                <w:top w:val="nil"/>
                <w:left w:val="nil"/>
                <w:bottom w:val="nil"/>
                <w:right w:val="nil"/>
                <w:between w:val="nil"/>
              </w:pBdr>
              <w:spacing w:line="240" w:lineRule="auto"/>
              <w:jc w:val="center"/>
              <w:rPr>
                <w:sz w:val="24"/>
                <w:szCs w:val="24"/>
              </w:rPr>
            </w:pPr>
            <w:r>
              <w:rPr>
                <w:sz w:val="24"/>
                <w:szCs w:val="24"/>
              </w:rPr>
              <w:lastRenderedPageBreak/>
              <w:t>6</w:t>
            </w:r>
          </w:p>
        </w:tc>
        <w:tc>
          <w:tcPr>
            <w:tcW w:w="1785" w:type="dxa"/>
            <w:shd w:val="clear" w:color="auto" w:fill="auto"/>
            <w:tcMar>
              <w:top w:w="100" w:type="dxa"/>
              <w:left w:w="100" w:type="dxa"/>
              <w:bottom w:w="100" w:type="dxa"/>
              <w:right w:w="100" w:type="dxa"/>
            </w:tcMar>
          </w:tcPr>
          <w:p w14:paraId="272D218E" w14:textId="77777777" w:rsidR="00B964F0" w:rsidRDefault="00000000">
            <w:pPr>
              <w:widowControl w:val="0"/>
              <w:pBdr>
                <w:top w:val="nil"/>
                <w:left w:val="nil"/>
                <w:bottom w:val="nil"/>
                <w:right w:val="nil"/>
                <w:between w:val="nil"/>
              </w:pBdr>
              <w:spacing w:line="240" w:lineRule="auto"/>
              <w:rPr>
                <w:sz w:val="24"/>
                <w:szCs w:val="24"/>
              </w:rPr>
            </w:pPr>
            <w:r>
              <w:rPr>
                <w:sz w:val="24"/>
                <w:szCs w:val="24"/>
              </w:rPr>
              <w:t>Milestone &amp; Transfer Schedule</w:t>
            </w:r>
          </w:p>
        </w:tc>
        <w:tc>
          <w:tcPr>
            <w:tcW w:w="6810" w:type="dxa"/>
            <w:shd w:val="clear" w:color="auto" w:fill="auto"/>
            <w:tcMar>
              <w:top w:w="100" w:type="dxa"/>
              <w:left w:w="100" w:type="dxa"/>
              <w:bottom w:w="100" w:type="dxa"/>
              <w:right w:w="100" w:type="dxa"/>
            </w:tcMar>
          </w:tcPr>
          <w:p w14:paraId="096CFA17" w14:textId="77777777" w:rsidR="00B964F0" w:rsidRDefault="00000000">
            <w:pPr>
              <w:numPr>
                <w:ilvl w:val="0"/>
                <w:numId w:val="19"/>
              </w:numPr>
              <w:spacing w:line="240" w:lineRule="auto"/>
              <w:rPr>
                <w:sz w:val="24"/>
                <w:szCs w:val="24"/>
              </w:rPr>
            </w:pPr>
            <w:r>
              <w:rPr>
                <w:sz w:val="24"/>
                <w:szCs w:val="24"/>
              </w:rPr>
              <w:t>TMF investment request is incremental vs front-loaded (Note: Back-to-back transfers in consecutive quarters are discouraged)</w:t>
            </w:r>
          </w:p>
        </w:tc>
      </w:tr>
      <w:tr w:rsidR="00B964F0" w14:paraId="6B126A4A" w14:textId="77777777">
        <w:tc>
          <w:tcPr>
            <w:tcW w:w="765" w:type="dxa"/>
            <w:shd w:val="clear" w:color="auto" w:fill="auto"/>
            <w:tcMar>
              <w:top w:w="100" w:type="dxa"/>
              <w:left w:w="100" w:type="dxa"/>
              <w:bottom w:w="100" w:type="dxa"/>
              <w:right w:w="100" w:type="dxa"/>
            </w:tcMar>
          </w:tcPr>
          <w:p w14:paraId="34E44C7C" w14:textId="77777777" w:rsidR="00B964F0" w:rsidRDefault="00000000">
            <w:pPr>
              <w:widowControl w:val="0"/>
              <w:pBdr>
                <w:top w:val="nil"/>
                <w:left w:val="nil"/>
                <w:bottom w:val="nil"/>
                <w:right w:val="nil"/>
                <w:between w:val="nil"/>
              </w:pBdr>
              <w:spacing w:line="240" w:lineRule="auto"/>
              <w:jc w:val="center"/>
              <w:rPr>
                <w:sz w:val="24"/>
                <w:szCs w:val="24"/>
              </w:rPr>
            </w:pPr>
            <w:r>
              <w:rPr>
                <w:sz w:val="24"/>
                <w:szCs w:val="24"/>
              </w:rPr>
              <w:t>7</w:t>
            </w:r>
          </w:p>
        </w:tc>
        <w:tc>
          <w:tcPr>
            <w:tcW w:w="1785" w:type="dxa"/>
            <w:shd w:val="clear" w:color="auto" w:fill="auto"/>
            <w:tcMar>
              <w:top w:w="100" w:type="dxa"/>
              <w:left w:w="100" w:type="dxa"/>
              <w:bottom w:w="100" w:type="dxa"/>
              <w:right w:w="100" w:type="dxa"/>
            </w:tcMar>
          </w:tcPr>
          <w:p w14:paraId="35570963" w14:textId="77777777" w:rsidR="00B964F0" w:rsidRDefault="00000000">
            <w:pPr>
              <w:widowControl w:val="0"/>
              <w:pBdr>
                <w:top w:val="nil"/>
                <w:left w:val="nil"/>
                <w:bottom w:val="nil"/>
                <w:right w:val="nil"/>
                <w:between w:val="nil"/>
              </w:pBdr>
              <w:spacing w:line="240" w:lineRule="auto"/>
              <w:rPr>
                <w:sz w:val="24"/>
                <w:szCs w:val="24"/>
              </w:rPr>
            </w:pPr>
            <w:r>
              <w:rPr>
                <w:sz w:val="24"/>
                <w:szCs w:val="24"/>
              </w:rPr>
              <w:t>Milestones</w:t>
            </w:r>
          </w:p>
        </w:tc>
        <w:tc>
          <w:tcPr>
            <w:tcW w:w="6810" w:type="dxa"/>
            <w:shd w:val="clear" w:color="auto" w:fill="auto"/>
            <w:tcMar>
              <w:top w:w="100" w:type="dxa"/>
              <w:left w:w="100" w:type="dxa"/>
              <w:bottom w:w="100" w:type="dxa"/>
              <w:right w:w="100" w:type="dxa"/>
            </w:tcMar>
          </w:tcPr>
          <w:p w14:paraId="670FFAB9" w14:textId="77777777" w:rsidR="00B964F0" w:rsidRDefault="00000000">
            <w:pPr>
              <w:widowControl w:val="0"/>
              <w:numPr>
                <w:ilvl w:val="0"/>
                <w:numId w:val="12"/>
              </w:numPr>
              <w:pBdr>
                <w:top w:val="nil"/>
                <w:left w:val="nil"/>
                <w:bottom w:val="nil"/>
                <w:right w:val="nil"/>
                <w:between w:val="nil"/>
              </w:pBdr>
              <w:spacing w:line="240" w:lineRule="auto"/>
              <w:rPr>
                <w:sz w:val="24"/>
                <w:szCs w:val="24"/>
              </w:rPr>
            </w:pPr>
            <w:r>
              <w:rPr>
                <w:sz w:val="24"/>
                <w:szCs w:val="24"/>
              </w:rPr>
              <w:t>Progress-based, impact-oriented, ensuring accountability &amp; oversight</w:t>
            </w:r>
          </w:p>
        </w:tc>
      </w:tr>
      <w:tr w:rsidR="00B964F0" w14:paraId="05B69C92" w14:textId="77777777">
        <w:tc>
          <w:tcPr>
            <w:tcW w:w="765" w:type="dxa"/>
            <w:shd w:val="clear" w:color="auto" w:fill="auto"/>
            <w:tcMar>
              <w:top w:w="100" w:type="dxa"/>
              <w:left w:w="100" w:type="dxa"/>
              <w:bottom w:w="100" w:type="dxa"/>
              <w:right w:w="100" w:type="dxa"/>
            </w:tcMar>
          </w:tcPr>
          <w:p w14:paraId="3C8485FB" w14:textId="77777777" w:rsidR="00B964F0" w:rsidRDefault="00000000">
            <w:pPr>
              <w:widowControl w:val="0"/>
              <w:pBdr>
                <w:top w:val="nil"/>
                <w:left w:val="nil"/>
                <w:bottom w:val="nil"/>
                <w:right w:val="nil"/>
                <w:between w:val="nil"/>
              </w:pBdr>
              <w:spacing w:line="240" w:lineRule="auto"/>
              <w:jc w:val="center"/>
              <w:rPr>
                <w:sz w:val="24"/>
                <w:szCs w:val="24"/>
              </w:rPr>
            </w:pPr>
            <w:r>
              <w:rPr>
                <w:sz w:val="24"/>
                <w:szCs w:val="24"/>
              </w:rPr>
              <w:t>8</w:t>
            </w:r>
          </w:p>
        </w:tc>
        <w:tc>
          <w:tcPr>
            <w:tcW w:w="1785" w:type="dxa"/>
            <w:shd w:val="clear" w:color="auto" w:fill="auto"/>
            <w:tcMar>
              <w:top w:w="100" w:type="dxa"/>
              <w:left w:w="100" w:type="dxa"/>
              <w:bottom w:w="100" w:type="dxa"/>
              <w:right w:w="100" w:type="dxa"/>
            </w:tcMar>
          </w:tcPr>
          <w:p w14:paraId="4314B3A4" w14:textId="77777777" w:rsidR="00B964F0" w:rsidRDefault="00000000">
            <w:pPr>
              <w:widowControl w:val="0"/>
              <w:pBdr>
                <w:top w:val="nil"/>
                <w:left w:val="nil"/>
                <w:bottom w:val="nil"/>
                <w:right w:val="nil"/>
                <w:between w:val="nil"/>
              </w:pBdr>
              <w:spacing w:line="240" w:lineRule="auto"/>
              <w:rPr>
                <w:sz w:val="24"/>
                <w:szCs w:val="24"/>
              </w:rPr>
            </w:pPr>
            <w:r>
              <w:rPr>
                <w:sz w:val="24"/>
                <w:szCs w:val="24"/>
              </w:rPr>
              <w:t>Out-Year Costs</w:t>
            </w:r>
          </w:p>
        </w:tc>
        <w:tc>
          <w:tcPr>
            <w:tcW w:w="6810" w:type="dxa"/>
            <w:shd w:val="clear" w:color="auto" w:fill="auto"/>
            <w:tcMar>
              <w:top w:w="100" w:type="dxa"/>
              <w:left w:w="100" w:type="dxa"/>
              <w:bottom w:w="100" w:type="dxa"/>
              <w:right w:w="100" w:type="dxa"/>
            </w:tcMar>
          </w:tcPr>
          <w:p w14:paraId="0C3C8308" w14:textId="77777777" w:rsidR="00B964F0" w:rsidRDefault="00000000">
            <w:pPr>
              <w:numPr>
                <w:ilvl w:val="0"/>
                <w:numId w:val="6"/>
              </w:numPr>
              <w:spacing w:line="240" w:lineRule="auto"/>
              <w:rPr>
                <w:sz w:val="24"/>
                <w:szCs w:val="24"/>
              </w:rPr>
            </w:pPr>
            <w:r>
              <w:rPr>
                <w:sz w:val="24"/>
                <w:szCs w:val="24"/>
              </w:rPr>
              <w:t>Inclusion of (&amp; ability to sustain) out-year costs, which vary by project (</w:t>
            </w:r>
            <w:proofErr w:type="gramStart"/>
            <w:r>
              <w:rPr>
                <w:sz w:val="24"/>
                <w:szCs w:val="24"/>
              </w:rPr>
              <w:t>i.e.</w:t>
            </w:r>
            <w:proofErr w:type="gramEnd"/>
            <w:r>
              <w:rPr>
                <w:sz w:val="24"/>
                <w:szCs w:val="24"/>
              </w:rPr>
              <w:t xml:space="preserve"> some require continuous DM&amp;E in addition to O&amp;M)</w:t>
            </w:r>
          </w:p>
          <w:p w14:paraId="087B8554" w14:textId="77777777" w:rsidR="00B964F0" w:rsidRDefault="00000000">
            <w:pPr>
              <w:numPr>
                <w:ilvl w:val="0"/>
                <w:numId w:val="6"/>
              </w:numPr>
              <w:spacing w:line="240" w:lineRule="auto"/>
              <w:rPr>
                <w:sz w:val="24"/>
                <w:szCs w:val="24"/>
              </w:rPr>
            </w:pPr>
            <w:r>
              <w:rPr>
                <w:sz w:val="24"/>
                <w:szCs w:val="24"/>
              </w:rPr>
              <w:t>Offset Identification &amp;/or Justification: Identification of any offsetting reduction (</w:t>
            </w:r>
            <w:proofErr w:type="gramStart"/>
            <w:r>
              <w:rPr>
                <w:sz w:val="24"/>
                <w:szCs w:val="24"/>
              </w:rPr>
              <w:t>i.e.</w:t>
            </w:r>
            <w:proofErr w:type="gramEnd"/>
            <w:r>
              <w:rPr>
                <w:sz w:val="24"/>
                <w:szCs w:val="24"/>
              </w:rPr>
              <w:t xml:space="preserve"> Existing System O&amp;M costs no longer needed due to the decommission of legacy systems)</w:t>
            </w:r>
          </w:p>
        </w:tc>
      </w:tr>
    </w:tbl>
    <w:p w14:paraId="49A1313B" w14:textId="77777777" w:rsidR="00B964F0" w:rsidRDefault="00B964F0">
      <w:pPr>
        <w:spacing w:line="240" w:lineRule="auto"/>
        <w:rPr>
          <w:sz w:val="24"/>
          <w:szCs w:val="24"/>
        </w:rPr>
      </w:pPr>
    </w:p>
    <w:p w14:paraId="47EA7402" w14:textId="77777777" w:rsidR="00B964F0" w:rsidRDefault="00000000">
      <w:pPr>
        <w:pStyle w:val="Heading4"/>
        <w:spacing w:line="240" w:lineRule="auto"/>
        <w:rPr>
          <w:b/>
        </w:rPr>
      </w:pPr>
      <w:bookmarkStart w:id="4" w:name="_Toc157165760"/>
      <w:r>
        <w:rPr>
          <w:b/>
        </w:rPr>
        <w:t>Repayment Approach &amp; Analysis</w:t>
      </w:r>
      <w:bookmarkEnd w:id="4"/>
    </w:p>
    <w:p w14:paraId="087146D3" w14:textId="77777777" w:rsidR="00B964F0" w:rsidRDefault="00000000">
      <w:pPr>
        <w:spacing w:line="240" w:lineRule="auto"/>
        <w:rPr>
          <w:sz w:val="24"/>
          <w:szCs w:val="24"/>
        </w:rPr>
      </w:pPr>
      <w:r>
        <w:rPr>
          <w:sz w:val="24"/>
          <w:szCs w:val="24"/>
        </w:rPr>
        <w:t>Review the table below for descriptions of what is expected for each category related to the project’s repayment approach and analysis.</w:t>
      </w:r>
    </w:p>
    <w:p w14:paraId="7CB6B4CF" w14:textId="77777777" w:rsidR="00B964F0" w:rsidRDefault="00B964F0">
      <w:pPr>
        <w:spacing w:line="240" w:lineRule="auto"/>
        <w:rPr>
          <w:sz w:val="24"/>
          <w:szCs w:val="24"/>
        </w:rPr>
      </w:pPr>
    </w:p>
    <w:tbl>
      <w:tblPr>
        <w:tblStyle w:val="a0"/>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755"/>
        <w:gridCol w:w="6855"/>
      </w:tblGrid>
      <w:tr w:rsidR="00B964F0" w14:paraId="1F404E5F" w14:textId="77777777">
        <w:trPr>
          <w:trHeight w:val="440"/>
        </w:trPr>
        <w:tc>
          <w:tcPr>
            <w:tcW w:w="9375" w:type="dxa"/>
            <w:gridSpan w:val="3"/>
            <w:shd w:val="clear" w:color="auto" w:fill="auto"/>
            <w:tcMar>
              <w:top w:w="100" w:type="dxa"/>
              <w:left w:w="100" w:type="dxa"/>
              <w:bottom w:w="100" w:type="dxa"/>
              <w:right w:w="100" w:type="dxa"/>
            </w:tcMar>
          </w:tcPr>
          <w:p w14:paraId="08437731" w14:textId="77777777" w:rsidR="00B964F0" w:rsidRDefault="00000000">
            <w:pPr>
              <w:widowControl w:val="0"/>
              <w:spacing w:line="240" w:lineRule="auto"/>
              <w:jc w:val="center"/>
              <w:rPr>
                <w:b/>
                <w:sz w:val="24"/>
                <w:szCs w:val="24"/>
              </w:rPr>
            </w:pPr>
            <w:r>
              <w:rPr>
                <w:b/>
                <w:sz w:val="24"/>
                <w:szCs w:val="24"/>
              </w:rPr>
              <w:t>Repayment Approach &amp; Analysis</w:t>
            </w:r>
          </w:p>
        </w:tc>
      </w:tr>
      <w:tr w:rsidR="00B964F0" w14:paraId="604F2704" w14:textId="77777777">
        <w:tc>
          <w:tcPr>
            <w:tcW w:w="765" w:type="dxa"/>
            <w:shd w:val="clear" w:color="auto" w:fill="auto"/>
            <w:tcMar>
              <w:top w:w="100" w:type="dxa"/>
              <w:left w:w="100" w:type="dxa"/>
              <w:bottom w:w="100" w:type="dxa"/>
              <w:right w:w="100" w:type="dxa"/>
            </w:tcMar>
          </w:tcPr>
          <w:p w14:paraId="010B5580" w14:textId="77777777" w:rsidR="00B964F0" w:rsidRDefault="00000000">
            <w:pPr>
              <w:widowControl w:val="0"/>
              <w:spacing w:line="240" w:lineRule="auto"/>
              <w:jc w:val="center"/>
              <w:rPr>
                <w:b/>
                <w:sz w:val="24"/>
                <w:szCs w:val="24"/>
              </w:rPr>
            </w:pPr>
            <w:r>
              <w:rPr>
                <w:b/>
                <w:sz w:val="24"/>
                <w:szCs w:val="24"/>
              </w:rPr>
              <w:t>#</w:t>
            </w:r>
          </w:p>
        </w:tc>
        <w:tc>
          <w:tcPr>
            <w:tcW w:w="1755" w:type="dxa"/>
            <w:shd w:val="clear" w:color="auto" w:fill="auto"/>
            <w:tcMar>
              <w:top w:w="100" w:type="dxa"/>
              <w:left w:w="100" w:type="dxa"/>
              <w:bottom w:w="100" w:type="dxa"/>
              <w:right w:w="100" w:type="dxa"/>
            </w:tcMar>
          </w:tcPr>
          <w:p w14:paraId="2ADBD1D0" w14:textId="77777777" w:rsidR="00B964F0" w:rsidRDefault="00000000">
            <w:pPr>
              <w:widowControl w:val="0"/>
              <w:spacing w:line="240" w:lineRule="auto"/>
              <w:jc w:val="center"/>
              <w:rPr>
                <w:b/>
                <w:sz w:val="24"/>
                <w:szCs w:val="24"/>
              </w:rPr>
            </w:pPr>
            <w:r>
              <w:rPr>
                <w:b/>
                <w:sz w:val="24"/>
                <w:szCs w:val="24"/>
              </w:rPr>
              <w:t>Categories</w:t>
            </w:r>
          </w:p>
        </w:tc>
        <w:tc>
          <w:tcPr>
            <w:tcW w:w="6855" w:type="dxa"/>
            <w:shd w:val="clear" w:color="auto" w:fill="auto"/>
            <w:tcMar>
              <w:top w:w="100" w:type="dxa"/>
              <w:left w:w="100" w:type="dxa"/>
              <w:bottom w:w="100" w:type="dxa"/>
              <w:right w:w="100" w:type="dxa"/>
            </w:tcMar>
          </w:tcPr>
          <w:p w14:paraId="4E0CE8E3" w14:textId="77777777" w:rsidR="00B964F0" w:rsidRDefault="00000000">
            <w:pPr>
              <w:widowControl w:val="0"/>
              <w:spacing w:line="240" w:lineRule="auto"/>
              <w:jc w:val="center"/>
              <w:rPr>
                <w:b/>
                <w:sz w:val="24"/>
                <w:szCs w:val="24"/>
              </w:rPr>
            </w:pPr>
            <w:r>
              <w:rPr>
                <w:b/>
                <w:sz w:val="24"/>
                <w:szCs w:val="24"/>
              </w:rPr>
              <w:t>Description</w:t>
            </w:r>
          </w:p>
        </w:tc>
      </w:tr>
      <w:tr w:rsidR="00B964F0" w14:paraId="30E39A83" w14:textId="77777777">
        <w:tc>
          <w:tcPr>
            <w:tcW w:w="765" w:type="dxa"/>
            <w:shd w:val="clear" w:color="auto" w:fill="auto"/>
            <w:tcMar>
              <w:top w:w="100" w:type="dxa"/>
              <w:left w:w="100" w:type="dxa"/>
              <w:bottom w:w="100" w:type="dxa"/>
              <w:right w:w="100" w:type="dxa"/>
            </w:tcMar>
          </w:tcPr>
          <w:p w14:paraId="57989ED1" w14:textId="77777777" w:rsidR="00B964F0" w:rsidRDefault="00000000">
            <w:pPr>
              <w:widowControl w:val="0"/>
              <w:spacing w:line="240" w:lineRule="auto"/>
              <w:jc w:val="center"/>
              <w:rPr>
                <w:sz w:val="24"/>
                <w:szCs w:val="24"/>
              </w:rPr>
            </w:pPr>
            <w:r>
              <w:rPr>
                <w:sz w:val="24"/>
                <w:szCs w:val="24"/>
              </w:rPr>
              <w:t>1</w:t>
            </w:r>
          </w:p>
        </w:tc>
        <w:tc>
          <w:tcPr>
            <w:tcW w:w="1755" w:type="dxa"/>
            <w:shd w:val="clear" w:color="auto" w:fill="auto"/>
            <w:tcMar>
              <w:top w:w="100" w:type="dxa"/>
              <w:left w:w="100" w:type="dxa"/>
              <w:bottom w:w="100" w:type="dxa"/>
              <w:right w:w="100" w:type="dxa"/>
            </w:tcMar>
          </w:tcPr>
          <w:p w14:paraId="15119404" w14:textId="77777777" w:rsidR="00B964F0" w:rsidRDefault="00000000">
            <w:pPr>
              <w:widowControl w:val="0"/>
              <w:spacing w:line="240" w:lineRule="auto"/>
              <w:rPr>
                <w:sz w:val="24"/>
                <w:szCs w:val="24"/>
              </w:rPr>
            </w:pPr>
            <w:r>
              <w:rPr>
                <w:sz w:val="24"/>
                <w:szCs w:val="24"/>
              </w:rPr>
              <w:t>Guideline Adherence</w:t>
            </w:r>
          </w:p>
        </w:tc>
        <w:tc>
          <w:tcPr>
            <w:tcW w:w="6855" w:type="dxa"/>
            <w:shd w:val="clear" w:color="auto" w:fill="auto"/>
            <w:tcMar>
              <w:top w:w="100" w:type="dxa"/>
              <w:left w:w="100" w:type="dxa"/>
              <w:bottom w:w="100" w:type="dxa"/>
              <w:right w:w="100" w:type="dxa"/>
            </w:tcMar>
          </w:tcPr>
          <w:p w14:paraId="5E6819FE" w14:textId="77777777" w:rsidR="00B964F0" w:rsidRDefault="00000000">
            <w:pPr>
              <w:widowControl w:val="0"/>
              <w:numPr>
                <w:ilvl w:val="0"/>
                <w:numId w:val="6"/>
              </w:numPr>
              <w:spacing w:line="240" w:lineRule="auto"/>
              <w:rPr>
                <w:sz w:val="24"/>
                <w:szCs w:val="24"/>
              </w:rPr>
            </w:pPr>
            <w:hyperlink r:id="rId20">
              <w:r>
                <w:rPr>
                  <w:color w:val="1155CC"/>
                  <w:sz w:val="24"/>
                  <w:szCs w:val="24"/>
                  <w:u w:val="single"/>
                </w:rPr>
                <w:t>American Rescue Plan (ARP) Guidelines</w:t>
              </w:r>
            </w:hyperlink>
            <w:r>
              <w:rPr>
                <w:sz w:val="24"/>
                <w:szCs w:val="24"/>
              </w:rPr>
              <w:t xml:space="preserve"> and</w:t>
            </w:r>
          </w:p>
          <w:p w14:paraId="5ABA1C7C" w14:textId="77777777" w:rsidR="00B964F0" w:rsidRDefault="00000000">
            <w:pPr>
              <w:numPr>
                <w:ilvl w:val="0"/>
                <w:numId w:val="6"/>
              </w:numPr>
              <w:spacing w:line="240" w:lineRule="auto"/>
              <w:rPr>
                <w:sz w:val="24"/>
                <w:szCs w:val="24"/>
              </w:rPr>
            </w:pPr>
            <w:hyperlink r:id="rId21">
              <w:r>
                <w:rPr>
                  <w:color w:val="1155CC"/>
                  <w:sz w:val="24"/>
                  <w:szCs w:val="24"/>
                  <w:u w:val="single"/>
                </w:rPr>
                <w:t>TMF Funding Guidelines</w:t>
              </w:r>
            </w:hyperlink>
          </w:p>
        </w:tc>
      </w:tr>
      <w:tr w:rsidR="00B964F0" w14:paraId="546CD7A4" w14:textId="77777777">
        <w:tc>
          <w:tcPr>
            <w:tcW w:w="765" w:type="dxa"/>
            <w:shd w:val="clear" w:color="auto" w:fill="auto"/>
            <w:tcMar>
              <w:top w:w="100" w:type="dxa"/>
              <w:left w:w="100" w:type="dxa"/>
              <w:bottom w:w="100" w:type="dxa"/>
              <w:right w:w="100" w:type="dxa"/>
            </w:tcMar>
          </w:tcPr>
          <w:p w14:paraId="26AB68C9" w14:textId="77777777" w:rsidR="00B964F0" w:rsidRDefault="00000000">
            <w:pPr>
              <w:widowControl w:val="0"/>
              <w:spacing w:line="240" w:lineRule="auto"/>
              <w:jc w:val="center"/>
              <w:rPr>
                <w:sz w:val="24"/>
                <w:szCs w:val="24"/>
              </w:rPr>
            </w:pPr>
            <w:r>
              <w:rPr>
                <w:sz w:val="24"/>
                <w:szCs w:val="24"/>
              </w:rPr>
              <w:t>2</w:t>
            </w:r>
          </w:p>
        </w:tc>
        <w:tc>
          <w:tcPr>
            <w:tcW w:w="1755" w:type="dxa"/>
            <w:shd w:val="clear" w:color="auto" w:fill="auto"/>
            <w:tcMar>
              <w:top w:w="100" w:type="dxa"/>
              <w:left w:w="100" w:type="dxa"/>
              <w:bottom w:w="100" w:type="dxa"/>
              <w:right w:w="100" w:type="dxa"/>
            </w:tcMar>
          </w:tcPr>
          <w:p w14:paraId="18DFAEA7" w14:textId="77777777" w:rsidR="00B964F0" w:rsidRDefault="00000000">
            <w:pPr>
              <w:widowControl w:val="0"/>
              <w:spacing w:line="240" w:lineRule="auto"/>
              <w:rPr>
                <w:sz w:val="24"/>
                <w:szCs w:val="24"/>
              </w:rPr>
            </w:pPr>
            <w:r>
              <w:rPr>
                <w:sz w:val="24"/>
                <w:szCs w:val="24"/>
              </w:rPr>
              <w:t xml:space="preserve">Level &amp; </w:t>
            </w:r>
          </w:p>
          <w:p w14:paraId="583C0905" w14:textId="77777777" w:rsidR="00B964F0" w:rsidRDefault="00000000">
            <w:pPr>
              <w:widowControl w:val="0"/>
              <w:spacing w:line="240" w:lineRule="auto"/>
              <w:rPr>
                <w:sz w:val="24"/>
                <w:szCs w:val="24"/>
              </w:rPr>
            </w:pPr>
            <w:r>
              <w:rPr>
                <w:sz w:val="24"/>
                <w:szCs w:val="24"/>
              </w:rPr>
              <w:t>Amount (%)</w:t>
            </w:r>
          </w:p>
        </w:tc>
        <w:tc>
          <w:tcPr>
            <w:tcW w:w="6855" w:type="dxa"/>
            <w:shd w:val="clear" w:color="auto" w:fill="auto"/>
            <w:tcMar>
              <w:top w:w="100" w:type="dxa"/>
              <w:left w:w="100" w:type="dxa"/>
              <w:bottom w:w="100" w:type="dxa"/>
              <w:right w:w="100" w:type="dxa"/>
            </w:tcMar>
          </w:tcPr>
          <w:p w14:paraId="1232E22E" w14:textId="77777777" w:rsidR="00B964F0" w:rsidRDefault="00000000">
            <w:pPr>
              <w:numPr>
                <w:ilvl w:val="0"/>
                <w:numId w:val="14"/>
              </w:numPr>
              <w:spacing w:line="240" w:lineRule="auto"/>
              <w:rPr>
                <w:sz w:val="24"/>
                <w:szCs w:val="24"/>
              </w:rPr>
            </w:pPr>
            <w:r>
              <w:rPr>
                <w:sz w:val="24"/>
                <w:szCs w:val="24"/>
              </w:rPr>
              <w:t xml:space="preserve">Repayment must be between 50%-100%. </w:t>
            </w:r>
          </w:p>
          <w:p w14:paraId="451BBEA0" w14:textId="77777777" w:rsidR="00B964F0" w:rsidRDefault="00000000">
            <w:pPr>
              <w:numPr>
                <w:ilvl w:val="0"/>
                <w:numId w:val="14"/>
              </w:numPr>
              <w:spacing w:line="240" w:lineRule="auto"/>
              <w:rPr>
                <w:sz w:val="24"/>
                <w:szCs w:val="24"/>
              </w:rPr>
            </w:pPr>
            <w:r>
              <w:rPr>
                <w:sz w:val="24"/>
                <w:szCs w:val="24"/>
              </w:rPr>
              <w:t>Repayment below 50% is rare and requires both the OMB Director and GSA Administrator approval.</w:t>
            </w:r>
          </w:p>
        </w:tc>
      </w:tr>
      <w:tr w:rsidR="00B964F0" w14:paraId="6DCA8DE9" w14:textId="77777777">
        <w:tc>
          <w:tcPr>
            <w:tcW w:w="765" w:type="dxa"/>
            <w:shd w:val="clear" w:color="auto" w:fill="auto"/>
            <w:tcMar>
              <w:top w:w="100" w:type="dxa"/>
              <w:left w:w="100" w:type="dxa"/>
              <w:bottom w:w="100" w:type="dxa"/>
              <w:right w:w="100" w:type="dxa"/>
            </w:tcMar>
          </w:tcPr>
          <w:p w14:paraId="6E998E69" w14:textId="77777777" w:rsidR="00B964F0" w:rsidRDefault="00000000">
            <w:pPr>
              <w:widowControl w:val="0"/>
              <w:spacing w:line="240" w:lineRule="auto"/>
              <w:jc w:val="center"/>
              <w:rPr>
                <w:sz w:val="24"/>
                <w:szCs w:val="24"/>
              </w:rPr>
            </w:pPr>
            <w:r>
              <w:rPr>
                <w:sz w:val="24"/>
                <w:szCs w:val="24"/>
              </w:rPr>
              <w:t>3</w:t>
            </w:r>
          </w:p>
        </w:tc>
        <w:tc>
          <w:tcPr>
            <w:tcW w:w="1755" w:type="dxa"/>
            <w:shd w:val="clear" w:color="auto" w:fill="auto"/>
            <w:tcMar>
              <w:top w:w="100" w:type="dxa"/>
              <w:left w:w="100" w:type="dxa"/>
              <w:bottom w:w="100" w:type="dxa"/>
              <w:right w:w="100" w:type="dxa"/>
            </w:tcMar>
          </w:tcPr>
          <w:p w14:paraId="13F93833" w14:textId="77777777" w:rsidR="00B964F0" w:rsidRDefault="00000000">
            <w:pPr>
              <w:widowControl w:val="0"/>
              <w:spacing w:line="240" w:lineRule="auto"/>
              <w:rPr>
                <w:sz w:val="24"/>
                <w:szCs w:val="24"/>
              </w:rPr>
            </w:pPr>
            <w:r>
              <w:rPr>
                <w:sz w:val="24"/>
                <w:szCs w:val="24"/>
              </w:rPr>
              <w:t>Justification</w:t>
            </w:r>
          </w:p>
        </w:tc>
        <w:tc>
          <w:tcPr>
            <w:tcW w:w="6855" w:type="dxa"/>
            <w:shd w:val="clear" w:color="auto" w:fill="auto"/>
            <w:tcMar>
              <w:top w:w="100" w:type="dxa"/>
              <w:left w:w="100" w:type="dxa"/>
              <w:bottom w:w="100" w:type="dxa"/>
              <w:right w:w="100" w:type="dxa"/>
            </w:tcMar>
          </w:tcPr>
          <w:p w14:paraId="5AEDBF23" w14:textId="77777777" w:rsidR="00B964F0" w:rsidRDefault="00000000">
            <w:pPr>
              <w:widowControl w:val="0"/>
              <w:numPr>
                <w:ilvl w:val="0"/>
                <w:numId w:val="18"/>
              </w:numPr>
              <w:spacing w:line="240" w:lineRule="auto"/>
              <w:rPr>
                <w:sz w:val="24"/>
                <w:szCs w:val="24"/>
              </w:rPr>
            </w:pPr>
            <w:r>
              <w:rPr>
                <w:sz w:val="24"/>
                <w:szCs w:val="24"/>
              </w:rPr>
              <w:t xml:space="preserve">Repayment (Level &amp; Amount) sufficiently justified (in Appendix A) and adheres to published </w:t>
            </w:r>
            <w:hyperlink r:id="rId22">
              <w:r>
                <w:rPr>
                  <w:color w:val="1155CC"/>
                  <w:sz w:val="24"/>
                  <w:szCs w:val="24"/>
                  <w:u w:val="single"/>
                </w:rPr>
                <w:t>ARP Guidelines</w:t>
              </w:r>
            </w:hyperlink>
            <w:r>
              <w:rPr>
                <w:sz w:val="24"/>
                <w:szCs w:val="24"/>
              </w:rPr>
              <w:t xml:space="preserve"> &amp; </w:t>
            </w:r>
            <w:hyperlink r:id="rId23">
              <w:r>
                <w:rPr>
                  <w:color w:val="1155CC"/>
                  <w:sz w:val="24"/>
                  <w:szCs w:val="24"/>
                  <w:u w:val="single"/>
                </w:rPr>
                <w:t>TMF Funding Guidelines</w:t>
              </w:r>
            </w:hyperlink>
          </w:p>
        </w:tc>
      </w:tr>
      <w:tr w:rsidR="00B964F0" w14:paraId="094DD6ED" w14:textId="77777777">
        <w:tc>
          <w:tcPr>
            <w:tcW w:w="765" w:type="dxa"/>
            <w:shd w:val="clear" w:color="auto" w:fill="auto"/>
            <w:tcMar>
              <w:top w:w="100" w:type="dxa"/>
              <w:left w:w="100" w:type="dxa"/>
              <w:bottom w:w="100" w:type="dxa"/>
              <w:right w:w="100" w:type="dxa"/>
            </w:tcMar>
          </w:tcPr>
          <w:p w14:paraId="0EB30894" w14:textId="77777777" w:rsidR="00B964F0" w:rsidRDefault="00000000">
            <w:pPr>
              <w:widowControl w:val="0"/>
              <w:spacing w:line="240" w:lineRule="auto"/>
              <w:jc w:val="center"/>
              <w:rPr>
                <w:sz w:val="24"/>
                <w:szCs w:val="24"/>
              </w:rPr>
            </w:pPr>
            <w:r>
              <w:rPr>
                <w:sz w:val="24"/>
                <w:szCs w:val="24"/>
              </w:rPr>
              <w:t>4</w:t>
            </w:r>
          </w:p>
        </w:tc>
        <w:tc>
          <w:tcPr>
            <w:tcW w:w="1755" w:type="dxa"/>
            <w:shd w:val="clear" w:color="auto" w:fill="auto"/>
            <w:tcMar>
              <w:top w:w="100" w:type="dxa"/>
              <w:left w:w="100" w:type="dxa"/>
              <w:bottom w:w="100" w:type="dxa"/>
              <w:right w:w="100" w:type="dxa"/>
            </w:tcMar>
          </w:tcPr>
          <w:p w14:paraId="055CBCA8" w14:textId="77777777" w:rsidR="00B964F0" w:rsidRDefault="00000000">
            <w:pPr>
              <w:widowControl w:val="0"/>
              <w:spacing w:line="240" w:lineRule="auto"/>
              <w:rPr>
                <w:sz w:val="24"/>
                <w:szCs w:val="24"/>
              </w:rPr>
            </w:pPr>
            <w:r>
              <w:rPr>
                <w:sz w:val="24"/>
                <w:szCs w:val="24"/>
              </w:rPr>
              <w:t>Alignment / Comparison</w:t>
            </w:r>
          </w:p>
        </w:tc>
        <w:tc>
          <w:tcPr>
            <w:tcW w:w="6855" w:type="dxa"/>
            <w:shd w:val="clear" w:color="auto" w:fill="auto"/>
            <w:tcMar>
              <w:top w:w="100" w:type="dxa"/>
              <w:left w:w="100" w:type="dxa"/>
              <w:bottom w:w="100" w:type="dxa"/>
              <w:right w:w="100" w:type="dxa"/>
            </w:tcMar>
          </w:tcPr>
          <w:p w14:paraId="51BE36EC" w14:textId="77777777" w:rsidR="00B964F0" w:rsidRDefault="00000000">
            <w:pPr>
              <w:numPr>
                <w:ilvl w:val="0"/>
                <w:numId w:val="4"/>
              </w:numPr>
              <w:spacing w:line="240" w:lineRule="auto"/>
              <w:rPr>
                <w:sz w:val="24"/>
                <w:szCs w:val="24"/>
              </w:rPr>
            </w:pPr>
            <w:r>
              <w:rPr>
                <w:sz w:val="24"/>
                <w:szCs w:val="24"/>
              </w:rPr>
              <w:t>Relative to agency’s costs (</w:t>
            </w:r>
            <w:proofErr w:type="gramStart"/>
            <w:r>
              <w:rPr>
                <w:sz w:val="24"/>
                <w:szCs w:val="24"/>
              </w:rPr>
              <w:t>i.e.</w:t>
            </w:r>
            <w:proofErr w:type="gramEnd"/>
            <w:r>
              <w:rPr>
                <w:sz w:val="24"/>
                <w:szCs w:val="24"/>
              </w:rPr>
              <w:t xml:space="preserve"> current/baseline, proposed investment) and projected savings (or cost avoidance)</w:t>
            </w:r>
          </w:p>
        </w:tc>
      </w:tr>
      <w:tr w:rsidR="00B964F0" w14:paraId="44FCF55A" w14:textId="77777777">
        <w:tc>
          <w:tcPr>
            <w:tcW w:w="765" w:type="dxa"/>
            <w:shd w:val="clear" w:color="auto" w:fill="auto"/>
            <w:tcMar>
              <w:top w:w="100" w:type="dxa"/>
              <w:left w:w="100" w:type="dxa"/>
              <w:bottom w:w="100" w:type="dxa"/>
              <w:right w:w="100" w:type="dxa"/>
            </w:tcMar>
          </w:tcPr>
          <w:p w14:paraId="0A3AF7C0" w14:textId="77777777" w:rsidR="00B964F0" w:rsidRDefault="00000000">
            <w:pPr>
              <w:widowControl w:val="0"/>
              <w:spacing w:line="240" w:lineRule="auto"/>
              <w:jc w:val="center"/>
              <w:rPr>
                <w:sz w:val="24"/>
                <w:szCs w:val="24"/>
              </w:rPr>
            </w:pPr>
            <w:r>
              <w:rPr>
                <w:sz w:val="24"/>
                <w:szCs w:val="24"/>
              </w:rPr>
              <w:t>5</w:t>
            </w:r>
          </w:p>
        </w:tc>
        <w:tc>
          <w:tcPr>
            <w:tcW w:w="1755" w:type="dxa"/>
            <w:shd w:val="clear" w:color="auto" w:fill="auto"/>
            <w:tcMar>
              <w:top w:w="100" w:type="dxa"/>
              <w:left w:w="100" w:type="dxa"/>
              <w:bottom w:w="100" w:type="dxa"/>
              <w:right w:w="100" w:type="dxa"/>
            </w:tcMar>
          </w:tcPr>
          <w:p w14:paraId="133F3654" w14:textId="77777777" w:rsidR="00B964F0" w:rsidRDefault="00000000">
            <w:pPr>
              <w:widowControl w:val="0"/>
              <w:spacing w:line="240" w:lineRule="auto"/>
              <w:rPr>
                <w:sz w:val="24"/>
                <w:szCs w:val="24"/>
              </w:rPr>
            </w:pPr>
            <w:r>
              <w:rPr>
                <w:sz w:val="24"/>
                <w:szCs w:val="24"/>
              </w:rPr>
              <w:t>Repayment Schedule</w:t>
            </w:r>
          </w:p>
        </w:tc>
        <w:tc>
          <w:tcPr>
            <w:tcW w:w="6855" w:type="dxa"/>
            <w:shd w:val="clear" w:color="auto" w:fill="auto"/>
            <w:tcMar>
              <w:top w:w="100" w:type="dxa"/>
              <w:left w:w="100" w:type="dxa"/>
              <w:bottom w:w="100" w:type="dxa"/>
              <w:right w:w="100" w:type="dxa"/>
            </w:tcMar>
          </w:tcPr>
          <w:p w14:paraId="7B13E31E" w14:textId="77777777" w:rsidR="00B964F0" w:rsidRDefault="00000000">
            <w:pPr>
              <w:widowControl w:val="0"/>
              <w:numPr>
                <w:ilvl w:val="0"/>
                <w:numId w:val="2"/>
              </w:numPr>
              <w:spacing w:line="240" w:lineRule="auto"/>
              <w:rPr>
                <w:sz w:val="24"/>
                <w:szCs w:val="24"/>
              </w:rPr>
            </w:pPr>
            <w:r>
              <w:rPr>
                <w:sz w:val="24"/>
                <w:szCs w:val="24"/>
              </w:rPr>
              <w:t>5 years or less, unless otherwise approved</w:t>
            </w:r>
          </w:p>
        </w:tc>
      </w:tr>
      <w:tr w:rsidR="00B964F0" w14:paraId="3B219670" w14:textId="77777777">
        <w:tc>
          <w:tcPr>
            <w:tcW w:w="765" w:type="dxa"/>
            <w:shd w:val="clear" w:color="auto" w:fill="auto"/>
            <w:tcMar>
              <w:top w:w="100" w:type="dxa"/>
              <w:left w:w="100" w:type="dxa"/>
              <w:bottom w:w="100" w:type="dxa"/>
              <w:right w:w="100" w:type="dxa"/>
            </w:tcMar>
          </w:tcPr>
          <w:p w14:paraId="375D567C" w14:textId="77777777" w:rsidR="00B964F0" w:rsidRDefault="00000000">
            <w:pPr>
              <w:widowControl w:val="0"/>
              <w:spacing w:line="240" w:lineRule="auto"/>
              <w:jc w:val="center"/>
              <w:rPr>
                <w:sz w:val="24"/>
                <w:szCs w:val="24"/>
              </w:rPr>
            </w:pPr>
            <w:r>
              <w:rPr>
                <w:sz w:val="24"/>
                <w:szCs w:val="24"/>
              </w:rPr>
              <w:t>6</w:t>
            </w:r>
          </w:p>
        </w:tc>
        <w:tc>
          <w:tcPr>
            <w:tcW w:w="1755" w:type="dxa"/>
            <w:shd w:val="clear" w:color="auto" w:fill="auto"/>
            <w:tcMar>
              <w:top w:w="100" w:type="dxa"/>
              <w:left w:w="100" w:type="dxa"/>
              <w:bottom w:w="100" w:type="dxa"/>
              <w:right w:w="100" w:type="dxa"/>
            </w:tcMar>
          </w:tcPr>
          <w:p w14:paraId="12CBB641" w14:textId="77777777" w:rsidR="00B964F0" w:rsidRDefault="00000000">
            <w:pPr>
              <w:widowControl w:val="0"/>
              <w:spacing w:line="240" w:lineRule="auto"/>
              <w:rPr>
                <w:sz w:val="24"/>
                <w:szCs w:val="24"/>
              </w:rPr>
            </w:pPr>
            <w:r>
              <w:rPr>
                <w:sz w:val="24"/>
                <w:szCs w:val="24"/>
              </w:rPr>
              <w:t>Proportionality</w:t>
            </w:r>
          </w:p>
        </w:tc>
        <w:tc>
          <w:tcPr>
            <w:tcW w:w="6855" w:type="dxa"/>
            <w:shd w:val="clear" w:color="auto" w:fill="auto"/>
            <w:tcMar>
              <w:top w:w="100" w:type="dxa"/>
              <w:left w:w="100" w:type="dxa"/>
              <w:bottom w:w="100" w:type="dxa"/>
              <w:right w:w="100" w:type="dxa"/>
            </w:tcMar>
          </w:tcPr>
          <w:p w14:paraId="2C1BA1F9" w14:textId="77777777" w:rsidR="00B964F0" w:rsidRDefault="00000000">
            <w:pPr>
              <w:widowControl w:val="0"/>
              <w:numPr>
                <w:ilvl w:val="0"/>
                <w:numId w:val="19"/>
              </w:numPr>
              <w:spacing w:line="240" w:lineRule="auto"/>
              <w:rPr>
                <w:sz w:val="24"/>
                <w:szCs w:val="24"/>
              </w:rPr>
            </w:pPr>
            <w:r>
              <w:rPr>
                <w:sz w:val="24"/>
                <w:szCs w:val="24"/>
              </w:rPr>
              <w:t>Repayment amount is evenly distributed and not backloaded (to the extent possible)</w:t>
            </w:r>
          </w:p>
        </w:tc>
      </w:tr>
      <w:tr w:rsidR="00B964F0" w14:paraId="3229B849" w14:textId="77777777">
        <w:tc>
          <w:tcPr>
            <w:tcW w:w="765" w:type="dxa"/>
            <w:shd w:val="clear" w:color="auto" w:fill="auto"/>
            <w:tcMar>
              <w:top w:w="100" w:type="dxa"/>
              <w:left w:w="100" w:type="dxa"/>
              <w:bottom w:w="100" w:type="dxa"/>
              <w:right w:w="100" w:type="dxa"/>
            </w:tcMar>
          </w:tcPr>
          <w:p w14:paraId="12951D62" w14:textId="77777777" w:rsidR="00B964F0" w:rsidRDefault="00000000">
            <w:pPr>
              <w:widowControl w:val="0"/>
              <w:spacing w:line="240" w:lineRule="auto"/>
              <w:jc w:val="center"/>
              <w:rPr>
                <w:sz w:val="24"/>
                <w:szCs w:val="24"/>
              </w:rPr>
            </w:pPr>
            <w:r>
              <w:rPr>
                <w:sz w:val="24"/>
                <w:szCs w:val="24"/>
              </w:rPr>
              <w:lastRenderedPageBreak/>
              <w:t>7</w:t>
            </w:r>
          </w:p>
        </w:tc>
        <w:tc>
          <w:tcPr>
            <w:tcW w:w="1755" w:type="dxa"/>
            <w:shd w:val="clear" w:color="auto" w:fill="auto"/>
            <w:tcMar>
              <w:top w:w="100" w:type="dxa"/>
              <w:left w:w="100" w:type="dxa"/>
              <w:bottom w:w="100" w:type="dxa"/>
              <w:right w:w="100" w:type="dxa"/>
            </w:tcMar>
          </w:tcPr>
          <w:p w14:paraId="7D94F225" w14:textId="77777777" w:rsidR="00B964F0" w:rsidRDefault="00000000">
            <w:pPr>
              <w:widowControl w:val="0"/>
              <w:spacing w:line="240" w:lineRule="auto"/>
              <w:rPr>
                <w:sz w:val="24"/>
                <w:szCs w:val="24"/>
              </w:rPr>
            </w:pPr>
            <w:r>
              <w:rPr>
                <w:sz w:val="24"/>
                <w:szCs w:val="24"/>
              </w:rPr>
              <w:t>Funding Source</w:t>
            </w:r>
          </w:p>
        </w:tc>
        <w:tc>
          <w:tcPr>
            <w:tcW w:w="6855" w:type="dxa"/>
            <w:shd w:val="clear" w:color="auto" w:fill="auto"/>
            <w:tcMar>
              <w:top w:w="100" w:type="dxa"/>
              <w:left w:w="100" w:type="dxa"/>
              <w:bottom w:w="100" w:type="dxa"/>
              <w:right w:w="100" w:type="dxa"/>
            </w:tcMar>
          </w:tcPr>
          <w:p w14:paraId="561A6276" w14:textId="77777777" w:rsidR="00B964F0" w:rsidRDefault="00000000">
            <w:pPr>
              <w:widowControl w:val="0"/>
              <w:numPr>
                <w:ilvl w:val="0"/>
                <w:numId w:val="12"/>
              </w:numPr>
              <w:spacing w:line="240" w:lineRule="auto"/>
              <w:rPr>
                <w:sz w:val="24"/>
                <w:szCs w:val="24"/>
              </w:rPr>
            </w:pPr>
            <w:r>
              <w:rPr>
                <w:sz w:val="24"/>
                <w:szCs w:val="24"/>
              </w:rPr>
              <w:t>Repayment funding source is clearly identified</w:t>
            </w:r>
          </w:p>
          <w:p w14:paraId="4D402DCC" w14:textId="77777777" w:rsidR="00B964F0" w:rsidRDefault="00000000">
            <w:pPr>
              <w:widowControl w:val="0"/>
              <w:numPr>
                <w:ilvl w:val="0"/>
                <w:numId w:val="12"/>
              </w:numPr>
              <w:spacing w:line="240" w:lineRule="auto"/>
              <w:rPr>
                <w:sz w:val="24"/>
                <w:szCs w:val="24"/>
              </w:rPr>
            </w:pPr>
            <w:r>
              <w:rPr>
                <w:sz w:val="24"/>
                <w:szCs w:val="24"/>
              </w:rPr>
              <w:t>Some options include: Cost Savings (via general savings, improved operational efficiencies); Reprioritization of existing resources; Cost Avoidance; Future Budget Request; or Fee-for-Service</w:t>
            </w:r>
          </w:p>
        </w:tc>
      </w:tr>
    </w:tbl>
    <w:p w14:paraId="058FA5CF" w14:textId="77777777" w:rsidR="00B964F0" w:rsidRDefault="00B964F0">
      <w:pPr>
        <w:spacing w:line="240" w:lineRule="auto"/>
        <w:rPr>
          <w:sz w:val="24"/>
          <w:szCs w:val="24"/>
        </w:rPr>
      </w:pPr>
    </w:p>
    <w:p w14:paraId="72D8AF24" w14:textId="77777777" w:rsidR="00B964F0" w:rsidRDefault="00000000">
      <w:pPr>
        <w:pStyle w:val="Heading3"/>
        <w:widowControl w:val="0"/>
        <w:spacing w:line="240" w:lineRule="auto"/>
        <w:rPr>
          <w:b/>
          <w:sz w:val="24"/>
          <w:szCs w:val="24"/>
        </w:rPr>
      </w:pPr>
      <w:bookmarkStart w:id="5" w:name="_Toc157165761"/>
      <w:r>
        <w:rPr>
          <w:b/>
          <w:sz w:val="24"/>
          <w:szCs w:val="24"/>
        </w:rPr>
        <w:t>Filling out the Spreadsheet – Tab by Tab</w:t>
      </w:r>
      <w:bookmarkEnd w:id="5"/>
    </w:p>
    <w:p w14:paraId="7DC3FA13" w14:textId="77777777" w:rsidR="00B964F0" w:rsidRDefault="00000000">
      <w:pPr>
        <w:pStyle w:val="Heading4"/>
        <w:spacing w:line="240" w:lineRule="auto"/>
        <w:rPr>
          <w:b/>
        </w:rPr>
      </w:pPr>
      <w:bookmarkStart w:id="6" w:name="_Toc157165762"/>
      <w:r>
        <w:rPr>
          <w:b/>
        </w:rPr>
        <w:t>Headings &amp; Definitions</w:t>
      </w:r>
      <w:bookmarkEnd w:id="6"/>
    </w:p>
    <w:p w14:paraId="625DB0CC" w14:textId="77777777" w:rsidR="00B964F0" w:rsidRDefault="00000000">
      <w:pPr>
        <w:numPr>
          <w:ilvl w:val="0"/>
          <w:numId w:val="5"/>
        </w:numPr>
        <w:spacing w:line="240" w:lineRule="auto"/>
        <w:rPr>
          <w:sz w:val="24"/>
          <w:szCs w:val="24"/>
        </w:rPr>
      </w:pPr>
      <w:r>
        <w:rPr>
          <w:sz w:val="24"/>
          <w:szCs w:val="24"/>
        </w:rPr>
        <w:t>General Note</w:t>
      </w:r>
    </w:p>
    <w:p w14:paraId="3F5472BA" w14:textId="77777777" w:rsidR="00B964F0" w:rsidRDefault="00000000">
      <w:pPr>
        <w:numPr>
          <w:ilvl w:val="1"/>
          <w:numId w:val="5"/>
        </w:numPr>
        <w:spacing w:line="240" w:lineRule="auto"/>
        <w:rPr>
          <w:sz w:val="24"/>
          <w:szCs w:val="24"/>
        </w:rPr>
      </w:pPr>
      <w:r>
        <w:rPr>
          <w:sz w:val="24"/>
          <w:szCs w:val="24"/>
        </w:rPr>
        <w:t xml:space="preserve">The various headings in the financial spreadsheet provide a </w:t>
      </w:r>
      <w:proofErr w:type="gramStart"/>
      <w:r>
        <w:rPr>
          <w:sz w:val="24"/>
          <w:szCs w:val="24"/>
        </w:rPr>
        <w:t>high level</w:t>
      </w:r>
      <w:proofErr w:type="gramEnd"/>
      <w:r>
        <w:rPr>
          <w:sz w:val="24"/>
          <w:szCs w:val="24"/>
        </w:rPr>
        <w:t xml:space="preserve"> overview of agency costs as well as an opportunity for comparison and analysis. </w:t>
      </w:r>
    </w:p>
    <w:p w14:paraId="25C223A3" w14:textId="77777777" w:rsidR="00B964F0" w:rsidRDefault="00000000">
      <w:pPr>
        <w:numPr>
          <w:ilvl w:val="1"/>
          <w:numId w:val="5"/>
        </w:numPr>
        <w:spacing w:line="240" w:lineRule="auto"/>
        <w:rPr>
          <w:sz w:val="24"/>
          <w:szCs w:val="24"/>
        </w:rPr>
      </w:pPr>
      <w:r>
        <w:rPr>
          <w:sz w:val="24"/>
          <w:szCs w:val="24"/>
        </w:rPr>
        <w:t>Since every investment proposal is different, agencies may find that some of the headings or sections are not applicable to their situation. Agencies should leave inapplicable sections blank and/or add rows where appropriate.</w:t>
      </w:r>
    </w:p>
    <w:p w14:paraId="23DDE46E" w14:textId="77777777" w:rsidR="00B964F0" w:rsidRDefault="00000000">
      <w:pPr>
        <w:numPr>
          <w:ilvl w:val="0"/>
          <w:numId w:val="5"/>
        </w:numPr>
        <w:spacing w:line="240" w:lineRule="auto"/>
        <w:rPr>
          <w:sz w:val="24"/>
          <w:szCs w:val="24"/>
        </w:rPr>
      </w:pPr>
      <w:r>
        <w:rPr>
          <w:sz w:val="24"/>
          <w:szCs w:val="24"/>
        </w:rPr>
        <w:t xml:space="preserve">Acquisitions </w:t>
      </w:r>
    </w:p>
    <w:p w14:paraId="12911CFE" w14:textId="77777777" w:rsidR="00B964F0" w:rsidRDefault="00000000">
      <w:pPr>
        <w:numPr>
          <w:ilvl w:val="1"/>
          <w:numId w:val="5"/>
        </w:numPr>
        <w:spacing w:line="240" w:lineRule="auto"/>
        <w:rPr>
          <w:sz w:val="24"/>
          <w:szCs w:val="24"/>
        </w:rPr>
      </w:pPr>
      <w:r>
        <w:rPr>
          <w:sz w:val="24"/>
          <w:szCs w:val="24"/>
        </w:rPr>
        <w:t>Designated to account for contracting with a 3rd party for products &amp;/or services</w:t>
      </w:r>
    </w:p>
    <w:p w14:paraId="6411E542" w14:textId="77777777" w:rsidR="00B964F0" w:rsidRDefault="00000000">
      <w:pPr>
        <w:numPr>
          <w:ilvl w:val="1"/>
          <w:numId w:val="5"/>
        </w:numPr>
        <w:spacing w:line="240" w:lineRule="auto"/>
        <w:rPr>
          <w:sz w:val="24"/>
          <w:szCs w:val="24"/>
        </w:rPr>
      </w:pPr>
      <w:r>
        <w:rPr>
          <w:sz w:val="24"/>
          <w:szCs w:val="24"/>
        </w:rPr>
        <w:t>Existing (vs New) Systems</w:t>
      </w:r>
    </w:p>
    <w:p w14:paraId="1D94FC88" w14:textId="77777777" w:rsidR="00B964F0" w:rsidRDefault="00000000">
      <w:pPr>
        <w:numPr>
          <w:ilvl w:val="2"/>
          <w:numId w:val="5"/>
        </w:numPr>
        <w:spacing w:line="240" w:lineRule="auto"/>
        <w:rPr>
          <w:sz w:val="24"/>
          <w:szCs w:val="24"/>
        </w:rPr>
      </w:pPr>
      <w:r>
        <w:rPr>
          <w:sz w:val="24"/>
          <w:szCs w:val="24"/>
        </w:rPr>
        <w:t xml:space="preserve">Both existing and new systems may require the acquisition of products &amp;/or services, and it’s important to distinguish between the two. An investment that improves an existing system should be characterized as an existing system. </w:t>
      </w:r>
    </w:p>
    <w:p w14:paraId="77A8A1EE" w14:textId="77777777" w:rsidR="00B964F0" w:rsidRDefault="00000000">
      <w:pPr>
        <w:numPr>
          <w:ilvl w:val="1"/>
          <w:numId w:val="5"/>
        </w:numPr>
        <w:spacing w:line="240" w:lineRule="auto"/>
        <w:rPr>
          <w:sz w:val="24"/>
          <w:szCs w:val="24"/>
        </w:rPr>
      </w:pPr>
      <w:r>
        <w:rPr>
          <w:sz w:val="24"/>
          <w:szCs w:val="24"/>
        </w:rPr>
        <w:t>DM&amp;E vs O&amp;M</w:t>
      </w:r>
    </w:p>
    <w:p w14:paraId="1B590DF7" w14:textId="77777777" w:rsidR="00B964F0" w:rsidRDefault="00000000">
      <w:pPr>
        <w:numPr>
          <w:ilvl w:val="2"/>
          <w:numId w:val="5"/>
        </w:numPr>
        <w:spacing w:line="240" w:lineRule="auto"/>
        <w:rPr>
          <w:sz w:val="24"/>
          <w:szCs w:val="24"/>
        </w:rPr>
      </w:pPr>
      <w:r>
        <w:rPr>
          <w:sz w:val="24"/>
          <w:szCs w:val="24"/>
        </w:rPr>
        <w:t>DM&amp;E (Development, Modernization, &amp; Enhancement) refers to expenses required to develop a new solution &amp;/or perform modernization and enhancements to existing solutions.</w:t>
      </w:r>
    </w:p>
    <w:p w14:paraId="427982CA" w14:textId="77777777" w:rsidR="00B964F0" w:rsidRDefault="00000000">
      <w:pPr>
        <w:numPr>
          <w:ilvl w:val="2"/>
          <w:numId w:val="5"/>
        </w:numPr>
        <w:spacing w:line="240" w:lineRule="auto"/>
        <w:rPr>
          <w:sz w:val="24"/>
          <w:szCs w:val="24"/>
        </w:rPr>
      </w:pPr>
      <w:r>
        <w:rPr>
          <w:sz w:val="24"/>
          <w:szCs w:val="24"/>
        </w:rPr>
        <w:t>O&amp;M (Operations &amp; Maintenance) refers to expenses required to operate and maintain an IT asset that is operating in a production environment.</w:t>
      </w:r>
    </w:p>
    <w:p w14:paraId="4A9B52DA" w14:textId="77777777" w:rsidR="00B964F0" w:rsidRDefault="00000000">
      <w:pPr>
        <w:numPr>
          <w:ilvl w:val="1"/>
          <w:numId w:val="5"/>
        </w:numPr>
        <w:spacing w:line="240" w:lineRule="auto"/>
        <w:rPr>
          <w:sz w:val="24"/>
          <w:szCs w:val="24"/>
        </w:rPr>
      </w:pPr>
      <w:r>
        <w:rPr>
          <w:sz w:val="24"/>
          <w:szCs w:val="24"/>
        </w:rPr>
        <w:t>Labor vs Hardware/Software</w:t>
      </w:r>
    </w:p>
    <w:p w14:paraId="43C65C5F" w14:textId="77777777" w:rsidR="00B964F0" w:rsidRDefault="00000000">
      <w:pPr>
        <w:numPr>
          <w:ilvl w:val="2"/>
          <w:numId w:val="5"/>
        </w:numPr>
        <w:spacing w:line="240" w:lineRule="auto"/>
        <w:rPr>
          <w:sz w:val="24"/>
          <w:szCs w:val="24"/>
        </w:rPr>
      </w:pPr>
      <w:r>
        <w:rPr>
          <w:sz w:val="24"/>
          <w:szCs w:val="24"/>
        </w:rPr>
        <w:t xml:space="preserve">Further breakdown of Labor and Hardware/Software costs </w:t>
      </w:r>
    </w:p>
    <w:p w14:paraId="2BD286EC" w14:textId="77777777" w:rsidR="00B964F0" w:rsidRDefault="00000000">
      <w:pPr>
        <w:numPr>
          <w:ilvl w:val="0"/>
          <w:numId w:val="5"/>
        </w:numPr>
        <w:spacing w:line="240" w:lineRule="auto"/>
        <w:rPr>
          <w:sz w:val="24"/>
          <w:szCs w:val="24"/>
        </w:rPr>
      </w:pPr>
      <w:r>
        <w:rPr>
          <w:sz w:val="24"/>
          <w:szCs w:val="24"/>
        </w:rPr>
        <w:t>Personnel Compensation &amp; Benefits (PC&amp;B)</w:t>
      </w:r>
    </w:p>
    <w:p w14:paraId="468EE07A" w14:textId="77777777" w:rsidR="00B964F0" w:rsidRDefault="00000000">
      <w:pPr>
        <w:numPr>
          <w:ilvl w:val="1"/>
          <w:numId w:val="5"/>
        </w:numPr>
        <w:spacing w:line="240" w:lineRule="auto"/>
        <w:rPr>
          <w:sz w:val="24"/>
          <w:szCs w:val="24"/>
        </w:rPr>
      </w:pPr>
      <w:r>
        <w:rPr>
          <w:sz w:val="24"/>
          <w:szCs w:val="24"/>
        </w:rPr>
        <w:t>Designated for current &amp;/or future FTEs</w:t>
      </w:r>
    </w:p>
    <w:p w14:paraId="724692DE" w14:textId="77777777" w:rsidR="00B964F0" w:rsidRDefault="00000000">
      <w:pPr>
        <w:numPr>
          <w:ilvl w:val="0"/>
          <w:numId w:val="5"/>
        </w:numPr>
        <w:spacing w:line="240" w:lineRule="auto"/>
        <w:rPr>
          <w:sz w:val="24"/>
          <w:szCs w:val="24"/>
        </w:rPr>
      </w:pPr>
      <w:r>
        <w:rPr>
          <w:sz w:val="24"/>
          <w:szCs w:val="24"/>
        </w:rPr>
        <w:t>Other Operating Expenses</w:t>
      </w:r>
    </w:p>
    <w:p w14:paraId="187D33BB" w14:textId="77777777" w:rsidR="00B964F0" w:rsidRDefault="00000000">
      <w:pPr>
        <w:numPr>
          <w:ilvl w:val="1"/>
          <w:numId w:val="5"/>
        </w:numPr>
        <w:spacing w:line="240" w:lineRule="auto"/>
        <w:rPr>
          <w:sz w:val="24"/>
          <w:szCs w:val="24"/>
        </w:rPr>
      </w:pPr>
      <w:r>
        <w:rPr>
          <w:sz w:val="24"/>
          <w:szCs w:val="24"/>
        </w:rPr>
        <w:t>Designated for travel, training, or other expenses</w:t>
      </w:r>
    </w:p>
    <w:p w14:paraId="163641C3" w14:textId="77777777" w:rsidR="00B964F0" w:rsidRDefault="00000000">
      <w:pPr>
        <w:numPr>
          <w:ilvl w:val="0"/>
          <w:numId w:val="5"/>
        </w:numPr>
        <w:spacing w:line="240" w:lineRule="auto"/>
        <w:rPr>
          <w:sz w:val="24"/>
          <w:szCs w:val="24"/>
        </w:rPr>
      </w:pPr>
      <w:r>
        <w:rPr>
          <w:sz w:val="24"/>
          <w:szCs w:val="24"/>
        </w:rPr>
        <w:t>Other Financial Impacts</w:t>
      </w:r>
    </w:p>
    <w:p w14:paraId="3A858B7D" w14:textId="77777777" w:rsidR="00B964F0" w:rsidRDefault="00000000">
      <w:pPr>
        <w:numPr>
          <w:ilvl w:val="1"/>
          <w:numId w:val="5"/>
        </w:numPr>
        <w:spacing w:line="240" w:lineRule="auto"/>
        <w:rPr>
          <w:sz w:val="24"/>
          <w:szCs w:val="24"/>
        </w:rPr>
      </w:pPr>
      <w:r>
        <w:rPr>
          <w:sz w:val="24"/>
          <w:szCs w:val="24"/>
        </w:rPr>
        <w:t>Designated for costs or offsets not included elsewhere</w:t>
      </w:r>
      <w:r>
        <w:rPr>
          <w:sz w:val="24"/>
          <w:szCs w:val="24"/>
        </w:rPr>
        <w:tab/>
      </w:r>
    </w:p>
    <w:p w14:paraId="30451659" w14:textId="77777777" w:rsidR="00B964F0" w:rsidRDefault="00B964F0">
      <w:pPr>
        <w:spacing w:line="240" w:lineRule="auto"/>
        <w:rPr>
          <w:sz w:val="24"/>
          <w:szCs w:val="24"/>
        </w:rPr>
      </w:pPr>
    </w:p>
    <w:p w14:paraId="6577294C" w14:textId="77777777" w:rsidR="00B964F0" w:rsidRDefault="00000000">
      <w:pPr>
        <w:pStyle w:val="Heading4"/>
        <w:widowControl w:val="0"/>
        <w:spacing w:line="240" w:lineRule="auto"/>
      </w:pPr>
      <w:bookmarkStart w:id="7" w:name="_Toc157165763"/>
      <w:r>
        <w:rPr>
          <w:b/>
        </w:rPr>
        <w:lastRenderedPageBreak/>
        <w:t>Overview &amp; Analysis</w:t>
      </w:r>
      <w:bookmarkEnd w:id="7"/>
    </w:p>
    <w:p w14:paraId="27784810" w14:textId="77777777" w:rsidR="00B964F0" w:rsidRDefault="00000000">
      <w:pPr>
        <w:widowControl w:val="0"/>
        <w:numPr>
          <w:ilvl w:val="0"/>
          <w:numId w:val="1"/>
        </w:numPr>
        <w:spacing w:line="240" w:lineRule="auto"/>
        <w:rPr>
          <w:sz w:val="24"/>
          <w:szCs w:val="24"/>
        </w:rPr>
      </w:pPr>
      <w:r>
        <w:rPr>
          <w:sz w:val="24"/>
          <w:szCs w:val="24"/>
        </w:rPr>
        <w:t>Primary Purpose: To serve as a dashboard view for the TMF Board and other stakeholders, used during a project evaluation as well as throughout an investment lifecycle.</w:t>
      </w:r>
    </w:p>
    <w:p w14:paraId="4C716687" w14:textId="77777777" w:rsidR="00B964F0" w:rsidRDefault="00000000">
      <w:pPr>
        <w:widowControl w:val="0"/>
        <w:numPr>
          <w:ilvl w:val="0"/>
          <w:numId w:val="1"/>
        </w:numPr>
        <w:spacing w:line="240" w:lineRule="auto"/>
        <w:rPr>
          <w:sz w:val="24"/>
          <w:szCs w:val="24"/>
        </w:rPr>
      </w:pPr>
      <w:r>
        <w:rPr>
          <w:sz w:val="24"/>
          <w:szCs w:val="24"/>
        </w:rPr>
        <w:t>Content Breakdown: Agency Overview &amp; Key Financial Metrics + Analysis</w:t>
      </w:r>
    </w:p>
    <w:p w14:paraId="35772548" w14:textId="77777777" w:rsidR="00B964F0" w:rsidRDefault="00000000">
      <w:pPr>
        <w:numPr>
          <w:ilvl w:val="0"/>
          <w:numId w:val="1"/>
        </w:numPr>
        <w:spacing w:line="240" w:lineRule="auto"/>
        <w:rPr>
          <w:sz w:val="24"/>
          <w:szCs w:val="24"/>
        </w:rPr>
      </w:pPr>
      <w:r>
        <w:rPr>
          <w:sz w:val="24"/>
          <w:szCs w:val="24"/>
        </w:rPr>
        <w:t>This tab contains three parts:</w:t>
      </w:r>
    </w:p>
    <w:p w14:paraId="36DE05A3" w14:textId="77777777" w:rsidR="00B964F0" w:rsidRDefault="00000000">
      <w:pPr>
        <w:numPr>
          <w:ilvl w:val="1"/>
          <w:numId w:val="1"/>
        </w:numPr>
        <w:spacing w:line="240" w:lineRule="auto"/>
        <w:rPr>
          <w:sz w:val="24"/>
          <w:szCs w:val="24"/>
        </w:rPr>
      </w:pPr>
      <w:r>
        <w:rPr>
          <w:sz w:val="24"/>
          <w:szCs w:val="24"/>
        </w:rPr>
        <w:t>Link to the Appendix B Guidance and Best Practices document – This document can be found on the TMF website. Please review and use this document to ensure the best outcome for your proposal.</w:t>
      </w:r>
    </w:p>
    <w:p w14:paraId="7E8B06D1" w14:textId="77777777" w:rsidR="00B964F0" w:rsidRDefault="00000000">
      <w:pPr>
        <w:numPr>
          <w:ilvl w:val="1"/>
          <w:numId w:val="1"/>
        </w:numPr>
        <w:spacing w:line="240" w:lineRule="auto"/>
        <w:rPr>
          <w:sz w:val="24"/>
          <w:szCs w:val="24"/>
        </w:rPr>
      </w:pPr>
      <w:r>
        <w:rPr>
          <w:sz w:val="24"/>
          <w:szCs w:val="24"/>
        </w:rPr>
        <w:t>Agency Overview – Agencies should enter basic information here.</w:t>
      </w:r>
    </w:p>
    <w:p w14:paraId="36918081" w14:textId="77777777" w:rsidR="00B964F0" w:rsidRDefault="00000000">
      <w:pPr>
        <w:numPr>
          <w:ilvl w:val="1"/>
          <w:numId w:val="1"/>
        </w:numPr>
        <w:spacing w:line="240" w:lineRule="auto"/>
        <w:rPr>
          <w:sz w:val="24"/>
          <w:szCs w:val="24"/>
        </w:rPr>
      </w:pPr>
      <w:r>
        <w:rPr>
          <w:sz w:val="24"/>
          <w:szCs w:val="24"/>
        </w:rPr>
        <w:t>Key Financial Metrics &amp; Analysis – This section provides analysis based on agency data entry and is used to assist decision-making.</w:t>
      </w:r>
    </w:p>
    <w:p w14:paraId="06FBA304" w14:textId="77777777" w:rsidR="00B964F0" w:rsidRDefault="00B964F0">
      <w:pPr>
        <w:widowControl w:val="0"/>
        <w:spacing w:line="240" w:lineRule="auto"/>
        <w:rPr>
          <w:sz w:val="24"/>
          <w:szCs w:val="24"/>
        </w:rPr>
      </w:pPr>
    </w:p>
    <w:p w14:paraId="7EA9953C" w14:textId="77777777" w:rsidR="00B964F0" w:rsidRDefault="00000000">
      <w:pPr>
        <w:pStyle w:val="Heading4"/>
        <w:widowControl w:val="0"/>
        <w:spacing w:line="240" w:lineRule="auto"/>
        <w:rPr>
          <w:b/>
        </w:rPr>
      </w:pPr>
      <w:bookmarkStart w:id="8" w:name="_Toc157165764"/>
      <w:r>
        <w:rPr>
          <w:b/>
        </w:rPr>
        <w:t>Current (Baseline) State</w:t>
      </w:r>
      <w:bookmarkEnd w:id="8"/>
    </w:p>
    <w:p w14:paraId="4ACF1542" w14:textId="77777777" w:rsidR="00B964F0" w:rsidRDefault="00000000">
      <w:pPr>
        <w:widowControl w:val="0"/>
        <w:numPr>
          <w:ilvl w:val="0"/>
          <w:numId w:val="17"/>
        </w:numPr>
        <w:spacing w:line="240" w:lineRule="auto"/>
        <w:rPr>
          <w:sz w:val="24"/>
          <w:szCs w:val="24"/>
        </w:rPr>
      </w:pPr>
      <w:r>
        <w:rPr>
          <w:sz w:val="24"/>
          <w:szCs w:val="24"/>
        </w:rPr>
        <w:t>Primary Purpose: This section is reserved for agencies to identify existing costs under a status quo scenario without a TMF investment applied. This section will be used for financial comparison with both Projected/Proposed, and Actual (Future) costs.</w:t>
      </w:r>
    </w:p>
    <w:p w14:paraId="056F6590" w14:textId="77777777" w:rsidR="00B964F0" w:rsidRDefault="00000000">
      <w:pPr>
        <w:widowControl w:val="0"/>
        <w:numPr>
          <w:ilvl w:val="0"/>
          <w:numId w:val="17"/>
        </w:numPr>
        <w:spacing w:line="240" w:lineRule="auto"/>
        <w:rPr>
          <w:sz w:val="24"/>
          <w:szCs w:val="24"/>
        </w:rPr>
      </w:pPr>
      <w:r>
        <w:rPr>
          <w:sz w:val="24"/>
          <w:szCs w:val="24"/>
        </w:rPr>
        <w:t>Content Breakdown: There is only one section to this tab.</w:t>
      </w:r>
    </w:p>
    <w:p w14:paraId="1D97FDF6" w14:textId="77777777" w:rsidR="00B964F0" w:rsidRDefault="00000000">
      <w:pPr>
        <w:widowControl w:val="0"/>
        <w:numPr>
          <w:ilvl w:val="0"/>
          <w:numId w:val="17"/>
        </w:numPr>
        <w:spacing w:line="240" w:lineRule="auto"/>
        <w:rPr>
          <w:sz w:val="24"/>
          <w:szCs w:val="24"/>
        </w:rPr>
      </w:pPr>
      <w:r>
        <w:rPr>
          <w:sz w:val="24"/>
          <w:szCs w:val="24"/>
        </w:rPr>
        <w:t xml:space="preserve">Restrictions: Do not include any costs that haven’t been approved or budgeted for, including future DM&amp;E that may need to be done. </w:t>
      </w:r>
    </w:p>
    <w:p w14:paraId="6AF68621" w14:textId="77777777" w:rsidR="00B964F0" w:rsidRDefault="00B964F0">
      <w:pPr>
        <w:widowControl w:val="0"/>
        <w:spacing w:line="240" w:lineRule="auto"/>
        <w:rPr>
          <w:sz w:val="24"/>
          <w:szCs w:val="24"/>
        </w:rPr>
      </w:pPr>
    </w:p>
    <w:p w14:paraId="0E848FEF" w14:textId="77777777" w:rsidR="00B964F0" w:rsidRDefault="00000000">
      <w:pPr>
        <w:pStyle w:val="Heading4"/>
        <w:widowControl w:val="0"/>
        <w:spacing w:line="240" w:lineRule="auto"/>
      </w:pPr>
      <w:bookmarkStart w:id="9" w:name="_Toc157165765"/>
      <w:r>
        <w:rPr>
          <w:b/>
        </w:rPr>
        <w:t>Projected State</w:t>
      </w:r>
      <w:bookmarkEnd w:id="9"/>
    </w:p>
    <w:p w14:paraId="0E92858A" w14:textId="77777777" w:rsidR="00B964F0" w:rsidRDefault="00000000">
      <w:pPr>
        <w:widowControl w:val="0"/>
        <w:numPr>
          <w:ilvl w:val="0"/>
          <w:numId w:val="8"/>
        </w:numPr>
        <w:spacing w:line="240" w:lineRule="auto"/>
        <w:rPr>
          <w:sz w:val="24"/>
          <w:szCs w:val="24"/>
        </w:rPr>
      </w:pPr>
      <w:r>
        <w:rPr>
          <w:sz w:val="24"/>
          <w:szCs w:val="24"/>
        </w:rPr>
        <w:t>Primary Purpose: To capture and represent all projected costs under a scenario where a TMF investment is applied.</w:t>
      </w:r>
    </w:p>
    <w:p w14:paraId="2619BE13" w14:textId="77777777" w:rsidR="00B964F0" w:rsidRDefault="00000000">
      <w:pPr>
        <w:widowControl w:val="0"/>
        <w:numPr>
          <w:ilvl w:val="0"/>
          <w:numId w:val="8"/>
        </w:numPr>
        <w:spacing w:line="240" w:lineRule="auto"/>
        <w:rPr>
          <w:sz w:val="24"/>
          <w:szCs w:val="24"/>
        </w:rPr>
      </w:pPr>
      <w:r>
        <w:rPr>
          <w:sz w:val="24"/>
          <w:szCs w:val="24"/>
        </w:rPr>
        <w:t>Content Breakdown: There are three sections to this tab, including a Combined Total Allocation (TMF + Agency), TMF Allocation, &amp; Agency Allocation.</w:t>
      </w:r>
    </w:p>
    <w:p w14:paraId="449DA88F" w14:textId="77777777" w:rsidR="00B964F0" w:rsidRDefault="00000000">
      <w:pPr>
        <w:widowControl w:val="0"/>
        <w:numPr>
          <w:ilvl w:val="0"/>
          <w:numId w:val="8"/>
        </w:numPr>
        <w:spacing w:line="240" w:lineRule="auto"/>
        <w:rPr>
          <w:sz w:val="24"/>
          <w:szCs w:val="24"/>
        </w:rPr>
      </w:pPr>
      <w:r>
        <w:rPr>
          <w:sz w:val="24"/>
          <w:szCs w:val="24"/>
        </w:rPr>
        <w:t>Restrictions: The first section (Combined Total Allocation) is locked and automatically adds the other two sections together.</w:t>
      </w:r>
    </w:p>
    <w:p w14:paraId="6F583EA1" w14:textId="77777777" w:rsidR="00B964F0" w:rsidRDefault="00B964F0">
      <w:pPr>
        <w:widowControl w:val="0"/>
        <w:spacing w:line="240" w:lineRule="auto"/>
        <w:rPr>
          <w:sz w:val="24"/>
          <w:szCs w:val="24"/>
        </w:rPr>
      </w:pPr>
    </w:p>
    <w:p w14:paraId="276787AC" w14:textId="77777777" w:rsidR="00B964F0" w:rsidRDefault="00000000">
      <w:pPr>
        <w:pStyle w:val="Heading4"/>
        <w:widowControl w:val="0"/>
        <w:spacing w:line="240" w:lineRule="auto"/>
      </w:pPr>
      <w:bookmarkStart w:id="10" w:name="_Toc157165766"/>
      <w:r>
        <w:rPr>
          <w:b/>
        </w:rPr>
        <w:t>Actual (Future) State</w:t>
      </w:r>
      <w:bookmarkEnd w:id="10"/>
    </w:p>
    <w:p w14:paraId="49CC9B97" w14:textId="77777777" w:rsidR="00B964F0" w:rsidRDefault="00000000">
      <w:pPr>
        <w:widowControl w:val="0"/>
        <w:numPr>
          <w:ilvl w:val="0"/>
          <w:numId w:val="15"/>
        </w:numPr>
        <w:spacing w:line="240" w:lineRule="auto"/>
        <w:rPr>
          <w:b/>
          <w:sz w:val="24"/>
          <w:szCs w:val="24"/>
        </w:rPr>
      </w:pPr>
      <w:r>
        <w:rPr>
          <w:b/>
          <w:sz w:val="24"/>
          <w:szCs w:val="24"/>
        </w:rPr>
        <w:t>Note: This section should not be completed during FPP submission as it’s solely intended for approved TMF investments.</w:t>
      </w:r>
    </w:p>
    <w:p w14:paraId="4979BBFB" w14:textId="77777777" w:rsidR="00B964F0" w:rsidRDefault="00000000">
      <w:pPr>
        <w:widowControl w:val="0"/>
        <w:numPr>
          <w:ilvl w:val="0"/>
          <w:numId w:val="15"/>
        </w:numPr>
        <w:spacing w:line="240" w:lineRule="auto"/>
        <w:rPr>
          <w:sz w:val="24"/>
          <w:szCs w:val="24"/>
        </w:rPr>
      </w:pPr>
      <w:r>
        <w:rPr>
          <w:sz w:val="24"/>
          <w:szCs w:val="24"/>
        </w:rPr>
        <w:t>Primary Purpose: To capture actual costs &amp; compare to the initially-submitted projected costs at the conclusion of each Fiscal Year for Board approved investments only.</w:t>
      </w:r>
    </w:p>
    <w:p w14:paraId="5E2D7B00" w14:textId="77777777" w:rsidR="00B964F0" w:rsidRDefault="00000000">
      <w:pPr>
        <w:widowControl w:val="0"/>
        <w:numPr>
          <w:ilvl w:val="0"/>
          <w:numId w:val="15"/>
        </w:numPr>
        <w:spacing w:line="240" w:lineRule="auto"/>
        <w:rPr>
          <w:sz w:val="24"/>
          <w:szCs w:val="24"/>
        </w:rPr>
      </w:pPr>
      <w:r>
        <w:rPr>
          <w:sz w:val="24"/>
          <w:szCs w:val="24"/>
        </w:rPr>
        <w:t>Content Breakdown: There are three sections to this tab, including a Combined Total Allocation (TMF + Agency), TMF Allocation, &amp; Agency Allocation.</w:t>
      </w:r>
    </w:p>
    <w:p w14:paraId="11D4A1A5" w14:textId="77777777" w:rsidR="00B964F0" w:rsidRDefault="00000000">
      <w:pPr>
        <w:widowControl w:val="0"/>
        <w:numPr>
          <w:ilvl w:val="0"/>
          <w:numId w:val="15"/>
        </w:numPr>
        <w:spacing w:line="240" w:lineRule="auto"/>
        <w:rPr>
          <w:sz w:val="24"/>
          <w:szCs w:val="24"/>
        </w:rPr>
      </w:pPr>
      <w:r>
        <w:rPr>
          <w:sz w:val="24"/>
          <w:szCs w:val="24"/>
        </w:rPr>
        <w:t>Restrictions: The first section (Combined Total Allocation) is locked and automatically adds the other two sections together.</w:t>
      </w:r>
    </w:p>
    <w:p w14:paraId="2549E6F9" w14:textId="77777777" w:rsidR="00B964F0" w:rsidRDefault="00B964F0">
      <w:pPr>
        <w:widowControl w:val="0"/>
        <w:spacing w:line="240" w:lineRule="auto"/>
        <w:rPr>
          <w:sz w:val="24"/>
          <w:szCs w:val="24"/>
        </w:rPr>
      </w:pPr>
    </w:p>
    <w:p w14:paraId="1F2EA27F" w14:textId="77777777" w:rsidR="00B964F0" w:rsidRDefault="00000000">
      <w:pPr>
        <w:pStyle w:val="Heading4"/>
        <w:widowControl w:val="0"/>
        <w:spacing w:line="240" w:lineRule="auto"/>
        <w:rPr>
          <w:b/>
        </w:rPr>
      </w:pPr>
      <w:bookmarkStart w:id="11" w:name="_Toc157165767"/>
      <w:r>
        <w:rPr>
          <w:b/>
        </w:rPr>
        <w:lastRenderedPageBreak/>
        <w:t>Milestone &amp; Transfer Schedule</w:t>
      </w:r>
      <w:bookmarkEnd w:id="11"/>
    </w:p>
    <w:p w14:paraId="5B1C92EA" w14:textId="77777777" w:rsidR="00B964F0" w:rsidRDefault="00000000">
      <w:pPr>
        <w:widowControl w:val="0"/>
        <w:numPr>
          <w:ilvl w:val="0"/>
          <w:numId w:val="8"/>
        </w:numPr>
        <w:spacing w:line="240" w:lineRule="auto"/>
        <w:rPr>
          <w:sz w:val="24"/>
          <w:szCs w:val="24"/>
        </w:rPr>
      </w:pPr>
      <w:r>
        <w:rPr>
          <w:sz w:val="24"/>
          <w:szCs w:val="24"/>
        </w:rPr>
        <w:t xml:space="preserve">Primary Purpose: To provide a breakdown of milestones, transfer amounts, and repayments amounts that will define the funding timeline of the investment. </w:t>
      </w:r>
    </w:p>
    <w:p w14:paraId="723CFE5C" w14:textId="77777777" w:rsidR="00B964F0" w:rsidRDefault="00000000">
      <w:pPr>
        <w:widowControl w:val="0"/>
        <w:numPr>
          <w:ilvl w:val="0"/>
          <w:numId w:val="8"/>
        </w:numPr>
        <w:spacing w:line="240" w:lineRule="auto"/>
        <w:rPr>
          <w:sz w:val="24"/>
          <w:szCs w:val="24"/>
        </w:rPr>
      </w:pPr>
      <w:r>
        <w:rPr>
          <w:sz w:val="24"/>
          <w:szCs w:val="24"/>
        </w:rPr>
        <w:t>Content Breakdown: There are three sections to this tab, including a Milestone and Transfer Schedule (By FY &amp; Quarter), Transfer Schedule (By FY), and Repayment Schedule (By FY &amp; Quarter).</w:t>
      </w:r>
    </w:p>
    <w:p w14:paraId="28F70A15" w14:textId="77777777" w:rsidR="00B964F0" w:rsidRDefault="00000000">
      <w:pPr>
        <w:widowControl w:val="0"/>
        <w:numPr>
          <w:ilvl w:val="0"/>
          <w:numId w:val="8"/>
        </w:numPr>
        <w:spacing w:line="240" w:lineRule="auto"/>
        <w:rPr>
          <w:sz w:val="24"/>
          <w:szCs w:val="24"/>
        </w:rPr>
      </w:pPr>
      <w:r>
        <w:rPr>
          <w:sz w:val="24"/>
          <w:szCs w:val="24"/>
        </w:rPr>
        <w:t>Restrictions: Please consult with the Ops Investment Managers before making adjustments.</w:t>
      </w:r>
    </w:p>
    <w:p w14:paraId="284A8872" w14:textId="77777777" w:rsidR="00B964F0" w:rsidRDefault="00B964F0">
      <w:pPr>
        <w:spacing w:line="240" w:lineRule="auto"/>
        <w:rPr>
          <w:sz w:val="24"/>
          <w:szCs w:val="24"/>
        </w:rPr>
      </w:pPr>
    </w:p>
    <w:p w14:paraId="4E613576" w14:textId="77777777" w:rsidR="00B964F0" w:rsidRDefault="00000000">
      <w:pPr>
        <w:pStyle w:val="Heading3"/>
        <w:spacing w:line="240" w:lineRule="auto"/>
        <w:rPr>
          <w:b/>
          <w:sz w:val="24"/>
          <w:szCs w:val="24"/>
        </w:rPr>
      </w:pPr>
      <w:bookmarkStart w:id="12" w:name="_Toc157165768"/>
      <w:r>
        <w:rPr>
          <w:b/>
          <w:sz w:val="24"/>
          <w:szCs w:val="24"/>
        </w:rPr>
        <w:t>GAO Cost Estimate Guidance &amp; Best Practices</w:t>
      </w:r>
      <w:bookmarkEnd w:id="12"/>
    </w:p>
    <w:p w14:paraId="024CC49D" w14:textId="77777777" w:rsidR="00B964F0" w:rsidRDefault="00B964F0">
      <w:pPr>
        <w:spacing w:line="240" w:lineRule="auto"/>
        <w:rPr>
          <w:sz w:val="24"/>
          <w:szCs w:val="24"/>
        </w:rPr>
      </w:pPr>
    </w:p>
    <w:p w14:paraId="561F7F38" w14:textId="77777777" w:rsidR="00B964F0" w:rsidRDefault="00000000">
      <w:pPr>
        <w:spacing w:line="240" w:lineRule="auto"/>
        <w:rPr>
          <w:sz w:val="24"/>
          <w:szCs w:val="24"/>
        </w:rPr>
      </w:pPr>
      <w:r>
        <w:rPr>
          <w:sz w:val="24"/>
          <w:szCs w:val="24"/>
        </w:rPr>
        <w:t xml:space="preserve">The </w:t>
      </w:r>
      <w:hyperlink r:id="rId24">
        <w:r>
          <w:rPr>
            <w:b/>
            <w:color w:val="1155CC"/>
            <w:sz w:val="24"/>
            <w:szCs w:val="24"/>
            <w:u w:val="single"/>
          </w:rPr>
          <w:t>GAO Cost Estimating &amp; Assessment Guide: Best Practices for Developing and Managing Program Costs</w:t>
        </w:r>
      </w:hyperlink>
      <w:r>
        <w:rPr>
          <w:sz w:val="24"/>
          <w:szCs w:val="24"/>
          <w:vertAlign w:val="superscript"/>
        </w:rPr>
        <w:footnoteReference w:id="5"/>
      </w:r>
      <w:r>
        <w:rPr>
          <w:sz w:val="24"/>
          <w:szCs w:val="24"/>
        </w:rPr>
        <w:t xml:space="preserve"> provides detailed cost estimating guidance and best practices to help ensure the accuracy and completeness of the provided information, especially as it relates to all 12 cost estimating elements/steps. </w:t>
      </w:r>
    </w:p>
    <w:p w14:paraId="11606C6D" w14:textId="77777777" w:rsidR="00B964F0" w:rsidRDefault="00000000">
      <w:pPr>
        <w:pStyle w:val="Heading4"/>
        <w:spacing w:line="240" w:lineRule="auto"/>
        <w:rPr>
          <w:b/>
        </w:rPr>
      </w:pPr>
      <w:bookmarkStart w:id="13" w:name="_Toc157165769"/>
      <w:r>
        <w:rPr>
          <w:b/>
        </w:rPr>
        <w:t>Significance of Cost Estimates</w:t>
      </w:r>
      <w:bookmarkEnd w:id="13"/>
    </w:p>
    <w:p w14:paraId="3B2C5D5A" w14:textId="77777777" w:rsidR="00B964F0" w:rsidRDefault="00000000">
      <w:pPr>
        <w:spacing w:line="240" w:lineRule="auto"/>
        <w:rPr>
          <w:sz w:val="24"/>
          <w:szCs w:val="24"/>
        </w:rPr>
      </w:pPr>
      <w:r>
        <w:rPr>
          <w:sz w:val="24"/>
          <w:szCs w:val="24"/>
        </w:rPr>
        <w:t xml:space="preserve">Cost estimating is a critical element in any acquisition process and helps decision-makers evaluate resource requirements at milestones and other important decision points. It is the basis for establishing and defending budgets and drives affordability analyses. Cost estimates are integral to determining and communicating a realistic view of likely cost and schedule outcomes that can be used to plan the work necessary to develop, produce, operate, maintain, and dispose of a program. </w:t>
      </w:r>
    </w:p>
    <w:p w14:paraId="300611AD" w14:textId="77777777" w:rsidR="00B964F0" w:rsidRDefault="00B964F0">
      <w:pPr>
        <w:spacing w:line="240" w:lineRule="auto"/>
        <w:rPr>
          <w:sz w:val="24"/>
          <w:szCs w:val="24"/>
        </w:rPr>
      </w:pPr>
    </w:p>
    <w:p w14:paraId="73E0D45D" w14:textId="77777777" w:rsidR="00B964F0" w:rsidRDefault="00000000">
      <w:pPr>
        <w:spacing w:line="240" w:lineRule="auto"/>
        <w:rPr>
          <w:sz w:val="24"/>
          <w:szCs w:val="24"/>
        </w:rPr>
      </w:pPr>
      <w:r>
        <w:rPr>
          <w:sz w:val="24"/>
          <w:szCs w:val="24"/>
        </w:rPr>
        <w:t xml:space="preserve">Cost estimating also provides valuable information to help determine whether a program is feasible, how it should be designed, and the resources needed to support it. Further, cost estimating is necessary for making program, technical, and schedule analyses and to support other processes such as: </w:t>
      </w:r>
    </w:p>
    <w:p w14:paraId="133FEEAC" w14:textId="77777777" w:rsidR="00B964F0" w:rsidRDefault="00B964F0">
      <w:pPr>
        <w:spacing w:line="240" w:lineRule="auto"/>
        <w:rPr>
          <w:sz w:val="24"/>
          <w:szCs w:val="24"/>
        </w:rPr>
      </w:pPr>
    </w:p>
    <w:p w14:paraId="16B3EBC4" w14:textId="77777777" w:rsidR="00B964F0" w:rsidRDefault="00000000">
      <w:pPr>
        <w:numPr>
          <w:ilvl w:val="0"/>
          <w:numId w:val="13"/>
        </w:numPr>
        <w:spacing w:line="240" w:lineRule="auto"/>
        <w:rPr>
          <w:sz w:val="24"/>
          <w:szCs w:val="24"/>
        </w:rPr>
      </w:pPr>
      <w:r>
        <w:rPr>
          <w:sz w:val="24"/>
          <w:szCs w:val="24"/>
        </w:rPr>
        <w:t xml:space="preserve">Source selection, </w:t>
      </w:r>
    </w:p>
    <w:p w14:paraId="0F688949" w14:textId="77777777" w:rsidR="00B964F0" w:rsidRDefault="00000000">
      <w:pPr>
        <w:numPr>
          <w:ilvl w:val="0"/>
          <w:numId w:val="13"/>
        </w:numPr>
        <w:spacing w:line="240" w:lineRule="auto"/>
        <w:rPr>
          <w:sz w:val="24"/>
          <w:szCs w:val="24"/>
        </w:rPr>
      </w:pPr>
      <w:r>
        <w:rPr>
          <w:sz w:val="24"/>
          <w:szCs w:val="24"/>
        </w:rPr>
        <w:t xml:space="preserve">Assessing technology changes, </w:t>
      </w:r>
    </w:p>
    <w:p w14:paraId="38676925" w14:textId="77777777" w:rsidR="00B964F0" w:rsidRDefault="00000000">
      <w:pPr>
        <w:numPr>
          <w:ilvl w:val="0"/>
          <w:numId w:val="13"/>
        </w:numPr>
        <w:spacing w:line="240" w:lineRule="auto"/>
        <w:rPr>
          <w:sz w:val="24"/>
          <w:szCs w:val="24"/>
        </w:rPr>
      </w:pPr>
      <w:r>
        <w:rPr>
          <w:sz w:val="24"/>
          <w:szCs w:val="24"/>
        </w:rPr>
        <w:t xml:space="preserve">Analyzing alternatives, </w:t>
      </w:r>
    </w:p>
    <w:p w14:paraId="7239900C" w14:textId="77777777" w:rsidR="00B964F0" w:rsidRDefault="00000000">
      <w:pPr>
        <w:numPr>
          <w:ilvl w:val="0"/>
          <w:numId w:val="13"/>
        </w:numPr>
        <w:spacing w:line="240" w:lineRule="auto"/>
        <w:rPr>
          <w:sz w:val="24"/>
          <w:szCs w:val="24"/>
        </w:rPr>
      </w:pPr>
      <w:r>
        <w:rPr>
          <w:sz w:val="24"/>
          <w:szCs w:val="24"/>
        </w:rPr>
        <w:t xml:space="preserve">Performing design trade-offs, and </w:t>
      </w:r>
    </w:p>
    <w:p w14:paraId="255813DF" w14:textId="77777777" w:rsidR="00B964F0" w:rsidRDefault="00000000">
      <w:pPr>
        <w:numPr>
          <w:ilvl w:val="0"/>
          <w:numId w:val="13"/>
        </w:numPr>
        <w:spacing w:line="240" w:lineRule="auto"/>
        <w:rPr>
          <w:sz w:val="24"/>
          <w:szCs w:val="24"/>
        </w:rPr>
      </w:pPr>
      <w:r>
        <w:rPr>
          <w:sz w:val="24"/>
          <w:szCs w:val="24"/>
        </w:rPr>
        <w:t>Satisfying statutory and oversight requirements</w:t>
      </w:r>
    </w:p>
    <w:p w14:paraId="3EFF2110" w14:textId="77777777" w:rsidR="00B964F0" w:rsidRDefault="00B964F0">
      <w:pPr>
        <w:spacing w:line="240" w:lineRule="auto"/>
        <w:rPr>
          <w:sz w:val="24"/>
          <w:szCs w:val="24"/>
        </w:rPr>
      </w:pPr>
    </w:p>
    <w:p w14:paraId="5CA42E7D" w14:textId="77777777" w:rsidR="00B964F0" w:rsidRDefault="00000000">
      <w:pPr>
        <w:pStyle w:val="Heading4"/>
        <w:spacing w:line="240" w:lineRule="auto"/>
        <w:rPr>
          <w:b/>
        </w:rPr>
      </w:pPr>
      <w:bookmarkStart w:id="14" w:name="_Toc157165770"/>
      <w:r>
        <w:rPr>
          <w:b/>
        </w:rPr>
        <w:t>The Four Characteristics of a Reliable Cost Estimate</w:t>
      </w:r>
      <w:bookmarkEnd w:id="14"/>
    </w:p>
    <w:p w14:paraId="21985CC9" w14:textId="77777777" w:rsidR="00B964F0" w:rsidRDefault="00000000">
      <w:pPr>
        <w:spacing w:line="240" w:lineRule="auto"/>
        <w:rPr>
          <w:sz w:val="24"/>
          <w:szCs w:val="24"/>
        </w:rPr>
      </w:pPr>
      <w:r>
        <w:rPr>
          <w:sz w:val="24"/>
          <w:szCs w:val="24"/>
        </w:rPr>
        <w:t xml:space="preserve">GAO’s research has found that a reliable cost estimate is one that is comprehensive, well documented, accurate, and credible. Management minimizes the risk of cost </w:t>
      </w:r>
      <w:r>
        <w:rPr>
          <w:sz w:val="24"/>
          <w:szCs w:val="24"/>
        </w:rPr>
        <w:lastRenderedPageBreak/>
        <w:t xml:space="preserve">overruns and unmet performance targets by ensuring cost estimates reflect these four characteristics. </w:t>
      </w:r>
    </w:p>
    <w:p w14:paraId="6D2C49A8" w14:textId="77777777" w:rsidR="00B964F0" w:rsidRDefault="00B964F0">
      <w:pPr>
        <w:spacing w:line="240" w:lineRule="auto"/>
        <w:rPr>
          <w:sz w:val="24"/>
          <w:szCs w:val="24"/>
        </w:rPr>
      </w:pPr>
    </w:p>
    <w:p w14:paraId="5712AC8A" w14:textId="77777777" w:rsidR="00B964F0" w:rsidRDefault="00000000">
      <w:pPr>
        <w:numPr>
          <w:ilvl w:val="0"/>
          <w:numId w:val="7"/>
        </w:numPr>
        <w:spacing w:line="240" w:lineRule="auto"/>
        <w:rPr>
          <w:sz w:val="24"/>
          <w:szCs w:val="24"/>
        </w:rPr>
      </w:pPr>
      <w:r>
        <w:rPr>
          <w:b/>
          <w:sz w:val="24"/>
          <w:szCs w:val="24"/>
        </w:rPr>
        <w:t>Comprehensive</w:t>
      </w:r>
      <w:r>
        <w:rPr>
          <w:sz w:val="24"/>
          <w:szCs w:val="24"/>
        </w:rPr>
        <w:t xml:space="preserve"> cost estimates completely define the program and reflect the current schedule and technical baseline. They are structured with sufficient detail to ensure that cost elements are neither omitted nor double-counted. Where information is limited and judgments must be made, assumptions and exclusions on which the estimate is based are reasonable, clearly identified, explained, and documented. </w:t>
      </w:r>
    </w:p>
    <w:p w14:paraId="02720360" w14:textId="77777777" w:rsidR="00B964F0" w:rsidRDefault="00B964F0">
      <w:pPr>
        <w:spacing w:line="240" w:lineRule="auto"/>
        <w:rPr>
          <w:sz w:val="24"/>
          <w:szCs w:val="24"/>
        </w:rPr>
      </w:pPr>
    </w:p>
    <w:p w14:paraId="6AF83A29" w14:textId="77777777" w:rsidR="00B964F0" w:rsidRDefault="00000000">
      <w:pPr>
        <w:numPr>
          <w:ilvl w:val="0"/>
          <w:numId w:val="7"/>
        </w:numPr>
        <w:spacing w:line="240" w:lineRule="auto"/>
        <w:rPr>
          <w:sz w:val="24"/>
          <w:szCs w:val="24"/>
        </w:rPr>
      </w:pPr>
      <w:r>
        <w:rPr>
          <w:b/>
          <w:sz w:val="24"/>
          <w:szCs w:val="24"/>
        </w:rPr>
        <w:t>Well-documented</w:t>
      </w:r>
      <w:r>
        <w:rPr>
          <w:sz w:val="24"/>
          <w:szCs w:val="24"/>
        </w:rPr>
        <w:t xml:space="preserve"> cost estimates can easily be repeated or updated and can be traced to original sources through auditing. Thorough documentation explicitly identifies the primary methods, calculations, results, rationales or assumptions, and sources of the data used to generate each cost element’s estimate. </w:t>
      </w:r>
    </w:p>
    <w:p w14:paraId="4FDC3141" w14:textId="77777777" w:rsidR="00B964F0" w:rsidRDefault="00B964F0">
      <w:pPr>
        <w:spacing w:line="240" w:lineRule="auto"/>
        <w:rPr>
          <w:sz w:val="24"/>
          <w:szCs w:val="24"/>
        </w:rPr>
      </w:pPr>
    </w:p>
    <w:p w14:paraId="4D5A6CD8" w14:textId="77777777" w:rsidR="00B964F0" w:rsidRDefault="00000000">
      <w:pPr>
        <w:numPr>
          <w:ilvl w:val="0"/>
          <w:numId w:val="7"/>
        </w:numPr>
        <w:spacing w:line="240" w:lineRule="auto"/>
        <w:rPr>
          <w:sz w:val="24"/>
          <w:szCs w:val="24"/>
        </w:rPr>
      </w:pPr>
      <w:r>
        <w:rPr>
          <w:b/>
          <w:sz w:val="24"/>
          <w:szCs w:val="24"/>
        </w:rPr>
        <w:t>Accurate</w:t>
      </w:r>
      <w:r>
        <w:rPr>
          <w:sz w:val="24"/>
          <w:szCs w:val="24"/>
        </w:rPr>
        <w:t xml:space="preserve"> cost estimates are developed by estimating each cost element using the best methodology from the data collected. Accurate estimates are based on appropriate adjustments for inflation. Their underlying mathematical formulas, databases, and inputs are validated, and the resulting estimates contain few, if any, minor mathematical mistakes. Accurate estimates are based on a historical record of cost estimating and actual experiences from comparable programs. Finally, they are updated regularly to reflect significant changes in the program. Any variances between estimated and actual costs are documented, explained, and reviewed. </w:t>
      </w:r>
    </w:p>
    <w:p w14:paraId="210E7955" w14:textId="77777777" w:rsidR="00B964F0" w:rsidRDefault="00B964F0">
      <w:pPr>
        <w:spacing w:line="240" w:lineRule="auto"/>
        <w:rPr>
          <w:sz w:val="24"/>
          <w:szCs w:val="24"/>
        </w:rPr>
      </w:pPr>
    </w:p>
    <w:p w14:paraId="435163B5" w14:textId="77777777" w:rsidR="00B964F0" w:rsidRDefault="00000000">
      <w:pPr>
        <w:numPr>
          <w:ilvl w:val="0"/>
          <w:numId w:val="7"/>
        </w:numPr>
        <w:spacing w:line="240" w:lineRule="auto"/>
        <w:rPr>
          <w:sz w:val="24"/>
          <w:szCs w:val="24"/>
        </w:rPr>
      </w:pPr>
      <w:r>
        <w:rPr>
          <w:b/>
          <w:sz w:val="24"/>
          <w:szCs w:val="24"/>
        </w:rPr>
        <w:t>Credible</w:t>
      </w:r>
      <w:r>
        <w:rPr>
          <w:sz w:val="24"/>
          <w:szCs w:val="24"/>
        </w:rPr>
        <w:t xml:space="preserve"> cost estimates discuss and document any limitations of the analysis, including uncertainty or bias surrounding source data and assumptions. The estimate’s major assumptions are varied to determine how sensitive it is to changes. Credible cost estimates include a risk and uncertainty analysis that determines the level of confidence associated with the estimate. In addition, high-value cost elements are cross-checked with alternative estimating methodologies to validate results. Finally, the estimate is compared with an independent cost estimate conducted by a group outside the acquiring organization.</w:t>
      </w:r>
    </w:p>
    <w:p w14:paraId="246AE894" w14:textId="77777777" w:rsidR="00B964F0" w:rsidRDefault="00000000">
      <w:pPr>
        <w:pStyle w:val="Heading4"/>
        <w:spacing w:line="240" w:lineRule="auto"/>
        <w:rPr>
          <w:b/>
        </w:rPr>
      </w:pPr>
      <w:bookmarkStart w:id="15" w:name="_Toc157165771"/>
      <w:r>
        <w:rPr>
          <w:b/>
        </w:rPr>
        <w:t>Best Practices Related to Developing &amp; Maintaining a Reliable Cost Estimate</w:t>
      </w:r>
      <w:bookmarkEnd w:id="15"/>
    </w:p>
    <w:p w14:paraId="346936BB" w14:textId="77777777" w:rsidR="00B964F0" w:rsidRDefault="00000000">
      <w:pPr>
        <w:spacing w:line="240" w:lineRule="auto"/>
        <w:rPr>
          <w:sz w:val="24"/>
          <w:szCs w:val="24"/>
        </w:rPr>
      </w:pPr>
      <w:r>
        <w:rPr>
          <w:sz w:val="24"/>
          <w:szCs w:val="24"/>
        </w:rPr>
        <w:t xml:space="preserve">A number of best practices form the basis of effective program cost estimating. Our research shows that comprehensive, well-documented, accurate, and credible cost estimates are developed by industry and government organizations that systematically implement these best practices. The following list describes the best practices that, if implemented, result in a cost estimate that exhibits the four characteristics. </w:t>
      </w:r>
    </w:p>
    <w:p w14:paraId="436569EB" w14:textId="77777777" w:rsidR="00B964F0" w:rsidRDefault="00B964F0">
      <w:pPr>
        <w:spacing w:line="240" w:lineRule="auto"/>
        <w:rPr>
          <w:sz w:val="24"/>
          <w:szCs w:val="24"/>
        </w:rPr>
      </w:pPr>
    </w:p>
    <w:p w14:paraId="249D28E0" w14:textId="77777777" w:rsidR="00B964F0" w:rsidRDefault="00000000">
      <w:pPr>
        <w:spacing w:line="240" w:lineRule="auto"/>
        <w:rPr>
          <w:sz w:val="24"/>
          <w:szCs w:val="24"/>
        </w:rPr>
      </w:pPr>
      <w:r>
        <w:rPr>
          <w:sz w:val="24"/>
          <w:szCs w:val="24"/>
        </w:rPr>
        <w:t xml:space="preserve">A </w:t>
      </w:r>
      <w:r>
        <w:rPr>
          <w:b/>
          <w:sz w:val="24"/>
          <w:szCs w:val="24"/>
        </w:rPr>
        <w:t>comprehensive</w:t>
      </w:r>
      <w:r>
        <w:rPr>
          <w:sz w:val="24"/>
          <w:szCs w:val="24"/>
        </w:rPr>
        <w:t xml:space="preserve"> cost </w:t>
      </w:r>
      <w:proofErr w:type="gramStart"/>
      <w:r>
        <w:rPr>
          <w:sz w:val="24"/>
          <w:szCs w:val="24"/>
        </w:rPr>
        <w:t>estimate</w:t>
      </w:r>
      <w:proofErr w:type="gramEnd"/>
      <w:r>
        <w:rPr>
          <w:sz w:val="24"/>
          <w:szCs w:val="24"/>
        </w:rPr>
        <w:t xml:space="preserve"> </w:t>
      </w:r>
    </w:p>
    <w:p w14:paraId="3C35DE4F" w14:textId="77777777" w:rsidR="00B964F0" w:rsidRDefault="00000000">
      <w:pPr>
        <w:numPr>
          <w:ilvl w:val="0"/>
          <w:numId w:val="16"/>
        </w:numPr>
        <w:spacing w:line="240" w:lineRule="auto"/>
        <w:rPr>
          <w:sz w:val="24"/>
          <w:szCs w:val="24"/>
        </w:rPr>
      </w:pPr>
      <w:r>
        <w:rPr>
          <w:sz w:val="24"/>
          <w:szCs w:val="24"/>
        </w:rPr>
        <w:t xml:space="preserve">Includes all life cycle costs; </w:t>
      </w:r>
    </w:p>
    <w:p w14:paraId="799E5ABB" w14:textId="77777777" w:rsidR="00B964F0" w:rsidRDefault="00000000">
      <w:pPr>
        <w:numPr>
          <w:ilvl w:val="0"/>
          <w:numId w:val="16"/>
        </w:numPr>
        <w:spacing w:line="240" w:lineRule="auto"/>
        <w:rPr>
          <w:sz w:val="24"/>
          <w:szCs w:val="24"/>
        </w:rPr>
      </w:pPr>
      <w:r>
        <w:rPr>
          <w:sz w:val="24"/>
          <w:szCs w:val="24"/>
        </w:rPr>
        <w:t xml:space="preserve">Is based on a technical baseline description that completely defines the program, reflects the current schedule, and is technically reasonable; </w:t>
      </w:r>
    </w:p>
    <w:p w14:paraId="4B0BB690" w14:textId="77777777" w:rsidR="00B964F0" w:rsidRDefault="00000000">
      <w:pPr>
        <w:numPr>
          <w:ilvl w:val="0"/>
          <w:numId w:val="16"/>
        </w:numPr>
        <w:spacing w:line="240" w:lineRule="auto"/>
        <w:rPr>
          <w:sz w:val="24"/>
          <w:szCs w:val="24"/>
        </w:rPr>
      </w:pPr>
      <w:r>
        <w:rPr>
          <w:sz w:val="24"/>
          <w:szCs w:val="24"/>
        </w:rPr>
        <w:lastRenderedPageBreak/>
        <w:t xml:space="preserve">Is based on a WBS that is product-oriented, traceable to the statement of work, and at an appropriate level of detail to ensure that cost elements are neither omitted nor double-counted; and </w:t>
      </w:r>
    </w:p>
    <w:p w14:paraId="1B678B1B" w14:textId="77777777" w:rsidR="00B964F0" w:rsidRDefault="00000000">
      <w:pPr>
        <w:numPr>
          <w:ilvl w:val="0"/>
          <w:numId w:val="16"/>
        </w:numPr>
        <w:spacing w:line="240" w:lineRule="auto"/>
        <w:rPr>
          <w:sz w:val="24"/>
          <w:szCs w:val="24"/>
        </w:rPr>
      </w:pPr>
      <w:r>
        <w:rPr>
          <w:sz w:val="24"/>
          <w:szCs w:val="24"/>
        </w:rPr>
        <w:t xml:space="preserve">Documents all cost-influencing ground rules and assumptions. </w:t>
      </w:r>
    </w:p>
    <w:p w14:paraId="6E5047A6" w14:textId="77777777" w:rsidR="00B964F0" w:rsidRDefault="00B964F0">
      <w:pPr>
        <w:spacing w:line="240" w:lineRule="auto"/>
        <w:rPr>
          <w:sz w:val="24"/>
          <w:szCs w:val="24"/>
        </w:rPr>
      </w:pPr>
    </w:p>
    <w:p w14:paraId="18D99807" w14:textId="77777777" w:rsidR="00B964F0" w:rsidRDefault="00000000">
      <w:pPr>
        <w:spacing w:line="240" w:lineRule="auto"/>
        <w:rPr>
          <w:sz w:val="24"/>
          <w:szCs w:val="24"/>
        </w:rPr>
      </w:pPr>
      <w:r>
        <w:rPr>
          <w:sz w:val="24"/>
          <w:szCs w:val="24"/>
        </w:rPr>
        <w:t xml:space="preserve">A </w:t>
      </w:r>
      <w:r>
        <w:rPr>
          <w:b/>
          <w:sz w:val="24"/>
          <w:szCs w:val="24"/>
        </w:rPr>
        <w:t>well-documented</w:t>
      </w:r>
      <w:r>
        <w:rPr>
          <w:sz w:val="24"/>
          <w:szCs w:val="24"/>
        </w:rPr>
        <w:t xml:space="preserve"> cost estimate </w:t>
      </w:r>
    </w:p>
    <w:p w14:paraId="6EAA0D98" w14:textId="77777777" w:rsidR="00B964F0" w:rsidRDefault="00000000">
      <w:pPr>
        <w:numPr>
          <w:ilvl w:val="0"/>
          <w:numId w:val="3"/>
        </w:numPr>
        <w:spacing w:line="240" w:lineRule="auto"/>
        <w:rPr>
          <w:sz w:val="24"/>
          <w:szCs w:val="24"/>
        </w:rPr>
      </w:pPr>
      <w:r>
        <w:rPr>
          <w:sz w:val="24"/>
          <w:szCs w:val="24"/>
        </w:rPr>
        <w:t xml:space="preserve">Shows the source data used, the reliability of the data, and the estimating methodology used to derive each element’s cost; </w:t>
      </w:r>
    </w:p>
    <w:p w14:paraId="0CD8843F" w14:textId="77777777" w:rsidR="00B964F0" w:rsidRDefault="00000000">
      <w:pPr>
        <w:numPr>
          <w:ilvl w:val="0"/>
          <w:numId w:val="3"/>
        </w:numPr>
        <w:spacing w:line="240" w:lineRule="auto"/>
        <w:rPr>
          <w:sz w:val="24"/>
          <w:szCs w:val="24"/>
        </w:rPr>
      </w:pPr>
      <w:r>
        <w:rPr>
          <w:sz w:val="24"/>
          <w:szCs w:val="24"/>
        </w:rPr>
        <w:t xml:space="preserve">Describes how the estimate was developed so that a cost analyst unfamiliar with the program could understand what was done and replicate it; </w:t>
      </w:r>
    </w:p>
    <w:p w14:paraId="69561A4F" w14:textId="77777777" w:rsidR="00B964F0" w:rsidRDefault="00000000">
      <w:pPr>
        <w:numPr>
          <w:ilvl w:val="0"/>
          <w:numId w:val="3"/>
        </w:numPr>
        <w:spacing w:line="240" w:lineRule="auto"/>
        <w:rPr>
          <w:sz w:val="24"/>
          <w:szCs w:val="24"/>
        </w:rPr>
      </w:pPr>
      <w:r>
        <w:rPr>
          <w:sz w:val="24"/>
          <w:szCs w:val="24"/>
        </w:rPr>
        <w:t xml:space="preserve">Discusses the technical baseline description and the data in the technical baseline are consistent with the cost estimate; and </w:t>
      </w:r>
    </w:p>
    <w:p w14:paraId="273C3619" w14:textId="77777777" w:rsidR="00B964F0" w:rsidRDefault="00000000">
      <w:pPr>
        <w:numPr>
          <w:ilvl w:val="0"/>
          <w:numId w:val="3"/>
        </w:numPr>
        <w:spacing w:line="240" w:lineRule="auto"/>
        <w:rPr>
          <w:sz w:val="24"/>
          <w:szCs w:val="24"/>
        </w:rPr>
      </w:pPr>
      <w:r>
        <w:rPr>
          <w:sz w:val="24"/>
          <w:szCs w:val="24"/>
        </w:rPr>
        <w:t xml:space="preserve">Provides evidence that the cost estimate was reviewed and accepted by management. </w:t>
      </w:r>
    </w:p>
    <w:p w14:paraId="4BF4180D" w14:textId="77777777" w:rsidR="00B964F0" w:rsidRDefault="00B964F0">
      <w:pPr>
        <w:spacing w:line="240" w:lineRule="auto"/>
        <w:rPr>
          <w:sz w:val="24"/>
          <w:szCs w:val="24"/>
        </w:rPr>
      </w:pPr>
    </w:p>
    <w:p w14:paraId="6E4B82B0" w14:textId="77777777" w:rsidR="00B964F0" w:rsidRDefault="00000000">
      <w:pPr>
        <w:spacing w:line="240" w:lineRule="auto"/>
        <w:rPr>
          <w:sz w:val="24"/>
          <w:szCs w:val="24"/>
        </w:rPr>
      </w:pPr>
      <w:r>
        <w:rPr>
          <w:sz w:val="24"/>
          <w:szCs w:val="24"/>
        </w:rPr>
        <w:t xml:space="preserve">An </w:t>
      </w:r>
      <w:r>
        <w:rPr>
          <w:b/>
          <w:sz w:val="24"/>
          <w:szCs w:val="24"/>
        </w:rPr>
        <w:t>accurate</w:t>
      </w:r>
      <w:r>
        <w:rPr>
          <w:sz w:val="24"/>
          <w:szCs w:val="24"/>
        </w:rPr>
        <w:t xml:space="preserve"> cost </w:t>
      </w:r>
      <w:proofErr w:type="gramStart"/>
      <w:r>
        <w:rPr>
          <w:sz w:val="24"/>
          <w:szCs w:val="24"/>
        </w:rPr>
        <w:t>estimate</w:t>
      </w:r>
      <w:proofErr w:type="gramEnd"/>
      <w:r>
        <w:rPr>
          <w:sz w:val="24"/>
          <w:szCs w:val="24"/>
        </w:rPr>
        <w:t xml:space="preserve"> </w:t>
      </w:r>
    </w:p>
    <w:p w14:paraId="61E17D37" w14:textId="77777777" w:rsidR="00B964F0" w:rsidRDefault="00000000">
      <w:pPr>
        <w:numPr>
          <w:ilvl w:val="0"/>
          <w:numId w:val="11"/>
        </w:numPr>
        <w:spacing w:line="240" w:lineRule="auto"/>
        <w:rPr>
          <w:sz w:val="24"/>
          <w:szCs w:val="24"/>
        </w:rPr>
      </w:pPr>
      <w:r>
        <w:rPr>
          <w:sz w:val="24"/>
          <w:szCs w:val="24"/>
        </w:rPr>
        <w:t xml:space="preserve">Is based on a model developed by estimating each WBS element using the best methodology from the data collected; </w:t>
      </w:r>
    </w:p>
    <w:p w14:paraId="228D9ABF" w14:textId="77777777" w:rsidR="00B964F0" w:rsidRDefault="00000000">
      <w:pPr>
        <w:numPr>
          <w:ilvl w:val="0"/>
          <w:numId w:val="11"/>
        </w:numPr>
        <w:spacing w:line="240" w:lineRule="auto"/>
        <w:rPr>
          <w:sz w:val="24"/>
          <w:szCs w:val="24"/>
        </w:rPr>
      </w:pPr>
      <w:r>
        <w:rPr>
          <w:sz w:val="24"/>
          <w:szCs w:val="24"/>
        </w:rPr>
        <w:t xml:space="preserve">Is adjusted properly for inflation; contains few, if any, minor mistakes; </w:t>
      </w:r>
    </w:p>
    <w:p w14:paraId="2D765D37" w14:textId="77777777" w:rsidR="00B964F0" w:rsidRDefault="00000000">
      <w:pPr>
        <w:numPr>
          <w:ilvl w:val="0"/>
          <w:numId w:val="11"/>
        </w:numPr>
        <w:spacing w:line="240" w:lineRule="auto"/>
        <w:rPr>
          <w:sz w:val="24"/>
          <w:szCs w:val="24"/>
        </w:rPr>
      </w:pPr>
      <w:r>
        <w:rPr>
          <w:sz w:val="24"/>
          <w:szCs w:val="24"/>
        </w:rPr>
        <w:t xml:space="preserve">Is regularly updated to ensure it reflects program changes and actual costs; </w:t>
      </w:r>
    </w:p>
    <w:p w14:paraId="30E2D9ED" w14:textId="77777777" w:rsidR="00B964F0" w:rsidRDefault="00000000">
      <w:pPr>
        <w:numPr>
          <w:ilvl w:val="0"/>
          <w:numId w:val="11"/>
        </w:numPr>
        <w:spacing w:line="240" w:lineRule="auto"/>
        <w:rPr>
          <w:sz w:val="24"/>
          <w:szCs w:val="24"/>
        </w:rPr>
      </w:pPr>
      <w:r>
        <w:rPr>
          <w:sz w:val="24"/>
          <w:szCs w:val="24"/>
        </w:rPr>
        <w:t>Documents, explains, &amp; reviews variances between planned and actual costs; &amp;</w:t>
      </w:r>
    </w:p>
    <w:p w14:paraId="09CF35DD" w14:textId="77777777" w:rsidR="00B964F0" w:rsidRDefault="00000000">
      <w:pPr>
        <w:numPr>
          <w:ilvl w:val="0"/>
          <w:numId w:val="11"/>
        </w:numPr>
        <w:spacing w:line="240" w:lineRule="auto"/>
        <w:rPr>
          <w:sz w:val="24"/>
          <w:szCs w:val="24"/>
        </w:rPr>
      </w:pPr>
      <w:r>
        <w:rPr>
          <w:sz w:val="24"/>
          <w:szCs w:val="24"/>
        </w:rPr>
        <w:t xml:space="preserve">Is based on a historical record of cost estimating and actual experiences from other comparable programs. </w:t>
      </w:r>
    </w:p>
    <w:p w14:paraId="6D520DD0" w14:textId="77777777" w:rsidR="00B964F0" w:rsidRDefault="00B964F0">
      <w:pPr>
        <w:spacing w:line="240" w:lineRule="auto"/>
        <w:rPr>
          <w:sz w:val="24"/>
          <w:szCs w:val="24"/>
        </w:rPr>
      </w:pPr>
    </w:p>
    <w:p w14:paraId="7FE8DD0B" w14:textId="77777777" w:rsidR="00B964F0" w:rsidRDefault="00000000">
      <w:pPr>
        <w:spacing w:line="240" w:lineRule="auto"/>
        <w:rPr>
          <w:sz w:val="24"/>
          <w:szCs w:val="24"/>
        </w:rPr>
      </w:pPr>
      <w:r>
        <w:rPr>
          <w:sz w:val="24"/>
          <w:szCs w:val="24"/>
        </w:rPr>
        <w:t xml:space="preserve">A </w:t>
      </w:r>
      <w:r>
        <w:rPr>
          <w:b/>
          <w:sz w:val="24"/>
          <w:szCs w:val="24"/>
        </w:rPr>
        <w:t>credible</w:t>
      </w:r>
      <w:r>
        <w:rPr>
          <w:sz w:val="24"/>
          <w:szCs w:val="24"/>
        </w:rPr>
        <w:t xml:space="preserve"> cost </w:t>
      </w:r>
      <w:proofErr w:type="gramStart"/>
      <w:r>
        <w:rPr>
          <w:sz w:val="24"/>
          <w:szCs w:val="24"/>
        </w:rPr>
        <w:t>estimate</w:t>
      </w:r>
      <w:proofErr w:type="gramEnd"/>
      <w:r>
        <w:rPr>
          <w:sz w:val="24"/>
          <w:szCs w:val="24"/>
        </w:rPr>
        <w:t xml:space="preserve"> </w:t>
      </w:r>
    </w:p>
    <w:p w14:paraId="2374F233" w14:textId="77777777" w:rsidR="00B964F0" w:rsidRDefault="00000000">
      <w:pPr>
        <w:numPr>
          <w:ilvl w:val="0"/>
          <w:numId w:val="20"/>
        </w:numPr>
        <w:spacing w:line="240" w:lineRule="auto"/>
        <w:rPr>
          <w:sz w:val="24"/>
          <w:szCs w:val="24"/>
        </w:rPr>
      </w:pPr>
      <w:r>
        <w:rPr>
          <w:sz w:val="24"/>
          <w:szCs w:val="24"/>
        </w:rPr>
        <w:t xml:space="preserve">Includes a sensitivity analysis that identifies a range of possible costs based on varying major assumptions, parameters, and data inputs; </w:t>
      </w:r>
    </w:p>
    <w:p w14:paraId="587C441A" w14:textId="77777777" w:rsidR="00B964F0" w:rsidRDefault="00000000">
      <w:pPr>
        <w:numPr>
          <w:ilvl w:val="0"/>
          <w:numId w:val="20"/>
        </w:numPr>
        <w:spacing w:line="240" w:lineRule="auto"/>
        <w:rPr>
          <w:sz w:val="24"/>
          <w:szCs w:val="24"/>
        </w:rPr>
      </w:pPr>
      <w:r>
        <w:rPr>
          <w:sz w:val="24"/>
          <w:szCs w:val="24"/>
        </w:rPr>
        <w:t>Includes a risk and uncertainty analysis that quantifies the imperfectly understood risks and identifies the effects of changing key cost driver assumptions &amp; factors;</w:t>
      </w:r>
    </w:p>
    <w:p w14:paraId="324D6E6A" w14:textId="77777777" w:rsidR="00B964F0" w:rsidRDefault="00000000">
      <w:pPr>
        <w:numPr>
          <w:ilvl w:val="0"/>
          <w:numId w:val="20"/>
        </w:numPr>
        <w:spacing w:line="240" w:lineRule="auto"/>
        <w:rPr>
          <w:sz w:val="24"/>
          <w:szCs w:val="24"/>
        </w:rPr>
      </w:pPr>
      <w:r>
        <w:rPr>
          <w:sz w:val="24"/>
          <w:szCs w:val="24"/>
        </w:rPr>
        <w:t xml:space="preserve">Employs cross-checks—or alternate methodologies—on major cost elements to validate results; and </w:t>
      </w:r>
    </w:p>
    <w:p w14:paraId="5F91B199" w14:textId="77777777" w:rsidR="00B964F0" w:rsidRDefault="00000000">
      <w:pPr>
        <w:numPr>
          <w:ilvl w:val="0"/>
          <w:numId w:val="20"/>
        </w:numPr>
        <w:spacing w:line="240" w:lineRule="auto"/>
        <w:rPr>
          <w:sz w:val="24"/>
          <w:szCs w:val="24"/>
        </w:rPr>
      </w:pPr>
      <w:r>
        <w:rPr>
          <w:sz w:val="24"/>
          <w:szCs w:val="24"/>
        </w:rPr>
        <w:t>Is compared to an independent cost estimate that is conducted by a group outside the acquiring organization to determine whether other estimating methods produce similar results</w:t>
      </w:r>
    </w:p>
    <w:p w14:paraId="7357134B" w14:textId="77777777" w:rsidR="00B964F0" w:rsidRDefault="00B964F0">
      <w:pPr>
        <w:spacing w:line="240" w:lineRule="auto"/>
        <w:rPr>
          <w:sz w:val="24"/>
          <w:szCs w:val="24"/>
        </w:rPr>
      </w:pPr>
    </w:p>
    <w:p w14:paraId="6E8C26D8" w14:textId="77777777" w:rsidR="00B964F0" w:rsidRDefault="00000000">
      <w:pPr>
        <w:pStyle w:val="Heading4"/>
        <w:spacing w:line="240" w:lineRule="auto"/>
        <w:rPr>
          <w:b/>
        </w:rPr>
      </w:pPr>
      <w:bookmarkStart w:id="16" w:name="_Toc157165772"/>
      <w:r>
        <w:rPr>
          <w:b/>
        </w:rPr>
        <w:t>The 12 Steps of the Cost Estimating Process (&amp; Related Best Practices)</w:t>
      </w:r>
      <w:bookmarkEnd w:id="16"/>
      <w:r>
        <w:rPr>
          <w:b/>
        </w:rPr>
        <w:t xml:space="preserve"> </w:t>
      </w:r>
    </w:p>
    <w:p w14:paraId="11BB1D64" w14:textId="77777777" w:rsidR="00B964F0" w:rsidRDefault="00B964F0">
      <w:pPr>
        <w:spacing w:line="240" w:lineRule="auto"/>
        <w:rPr>
          <w:sz w:val="24"/>
          <w:szCs w:val="24"/>
        </w:rPr>
      </w:pPr>
    </w:p>
    <w:tbl>
      <w:tblPr>
        <w:tblStyle w:val="a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2025"/>
        <w:gridCol w:w="510"/>
        <w:gridCol w:w="6255"/>
      </w:tblGrid>
      <w:tr w:rsidR="00B964F0" w14:paraId="42001A19" w14:textId="77777777">
        <w:trPr>
          <w:trHeight w:val="440"/>
        </w:trPr>
        <w:tc>
          <w:tcPr>
            <w:tcW w:w="9345" w:type="dxa"/>
            <w:gridSpan w:val="4"/>
            <w:shd w:val="clear" w:color="auto" w:fill="auto"/>
            <w:tcMar>
              <w:top w:w="100" w:type="dxa"/>
              <w:left w:w="100" w:type="dxa"/>
              <w:bottom w:w="100" w:type="dxa"/>
              <w:right w:w="100" w:type="dxa"/>
            </w:tcMar>
          </w:tcPr>
          <w:p w14:paraId="52632E9D" w14:textId="77777777" w:rsidR="00B964F0" w:rsidRDefault="00000000">
            <w:pPr>
              <w:widowControl w:val="0"/>
              <w:spacing w:line="240" w:lineRule="auto"/>
              <w:jc w:val="center"/>
              <w:rPr>
                <w:b/>
                <w:sz w:val="24"/>
                <w:szCs w:val="24"/>
              </w:rPr>
            </w:pPr>
            <w:r>
              <w:rPr>
                <w:b/>
                <w:sz w:val="24"/>
                <w:szCs w:val="24"/>
              </w:rPr>
              <w:t>The 12 Steps and their Best Practices</w:t>
            </w:r>
          </w:p>
        </w:tc>
      </w:tr>
      <w:tr w:rsidR="00B964F0" w14:paraId="1DAADF5C" w14:textId="77777777">
        <w:tc>
          <w:tcPr>
            <w:tcW w:w="555" w:type="dxa"/>
            <w:shd w:val="clear" w:color="auto" w:fill="auto"/>
            <w:tcMar>
              <w:top w:w="100" w:type="dxa"/>
              <w:left w:w="100" w:type="dxa"/>
              <w:bottom w:w="100" w:type="dxa"/>
              <w:right w:w="100" w:type="dxa"/>
            </w:tcMar>
          </w:tcPr>
          <w:p w14:paraId="18F5FB7D" w14:textId="77777777" w:rsidR="00B964F0" w:rsidRDefault="00000000">
            <w:pPr>
              <w:widowControl w:val="0"/>
              <w:spacing w:line="240" w:lineRule="auto"/>
              <w:jc w:val="center"/>
              <w:rPr>
                <w:b/>
                <w:sz w:val="24"/>
                <w:szCs w:val="24"/>
              </w:rPr>
            </w:pPr>
            <w:r>
              <w:rPr>
                <w:b/>
                <w:sz w:val="24"/>
                <w:szCs w:val="24"/>
              </w:rPr>
              <w:lastRenderedPageBreak/>
              <w:t>#</w:t>
            </w:r>
          </w:p>
        </w:tc>
        <w:tc>
          <w:tcPr>
            <w:tcW w:w="2025" w:type="dxa"/>
            <w:shd w:val="clear" w:color="auto" w:fill="auto"/>
            <w:tcMar>
              <w:top w:w="100" w:type="dxa"/>
              <w:left w:w="100" w:type="dxa"/>
              <w:bottom w:w="100" w:type="dxa"/>
              <w:right w:w="100" w:type="dxa"/>
            </w:tcMar>
          </w:tcPr>
          <w:p w14:paraId="2FBDAC0C" w14:textId="77777777" w:rsidR="00B964F0" w:rsidRDefault="00000000">
            <w:pPr>
              <w:widowControl w:val="0"/>
              <w:spacing w:line="240" w:lineRule="auto"/>
              <w:jc w:val="center"/>
              <w:rPr>
                <w:b/>
                <w:sz w:val="24"/>
                <w:szCs w:val="24"/>
              </w:rPr>
            </w:pPr>
            <w:r>
              <w:rPr>
                <w:b/>
                <w:sz w:val="24"/>
                <w:szCs w:val="24"/>
              </w:rPr>
              <w:t>Step</w:t>
            </w:r>
            <w:r>
              <w:rPr>
                <w:b/>
                <w:sz w:val="24"/>
                <w:szCs w:val="24"/>
                <w:vertAlign w:val="superscript"/>
              </w:rPr>
              <w:footnoteReference w:id="6"/>
            </w:r>
          </w:p>
        </w:tc>
        <w:tc>
          <w:tcPr>
            <w:tcW w:w="510" w:type="dxa"/>
            <w:shd w:val="clear" w:color="auto" w:fill="auto"/>
            <w:tcMar>
              <w:top w:w="100" w:type="dxa"/>
              <w:left w:w="100" w:type="dxa"/>
              <w:bottom w:w="100" w:type="dxa"/>
              <w:right w:w="100" w:type="dxa"/>
            </w:tcMar>
          </w:tcPr>
          <w:p w14:paraId="1A7E26B2" w14:textId="77777777" w:rsidR="00B964F0" w:rsidRDefault="00000000">
            <w:pPr>
              <w:widowControl w:val="0"/>
              <w:spacing w:line="240" w:lineRule="auto"/>
              <w:jc w:val="center"/>
              <w:rPr>
                <w:b/>
                <w:sz w:val="24"/>
                <w:szCs w:val="24"/>
              </w:rPr>
            </w:pPr>
            <w:r>
              <w:rPr>
                <w:b/>
                <w:sz w:val="24"/>
                <w:szCs w:val="24"/>
              </w:rPr>
              <w:t>#</w:t>
            </w:r>
          </w:p>
        </w:tc>
        <w:tc>
          <w:tcPr>
            <w:tcW w:w="6255" w:type="dxa"/>
            <w:shd w:val="clear" w:color="auto" w:fill="auto"/>
            <w:tcMar>
              <w:top w:w="100" w:type="dxa"/>
              <w:left w:w="100" w:type="dxa"/>
              <w:bottom w:w="100" w:type="dxa"/>
              <w:right w:w="100" w:type="dxa"/>
            </w:tcMar>
          </w:tcPr>
          <w:p w14:paraId="749F4870" w14:textId="77777777" w:rsidR="00B964F0" w:rsidRDefault="00000000">
            <w:pPr>
              <w:widowControl w:val="0"/>
              <w:spacing w:line="240" w:lineRule="auto"/>
              <w:jc w:val="center"/>
              <w:rPr>
                <w:b/>
                <w:sz w:val="24"/>
                <w:szCs w:val="24"/>
              </w:rPr>
            </w:pPr>
            <w:r>
              <w:rPr>
                <w:b/>
                <w:sz w:val="24"/>
                <w:szCs w:val="24"/>
              </w:rPr>
              <w:t>Best Practice</w:t>
            </w:r>
            <w:r>
              <w:rPr>
                <w:b/>
                <w:sz w:val="24"/>
                <w:szCs w:val="24"/>
                <w:vertAlign w:val="superscript"/>
              </w:rPr>
              <w:footnoteReference w:id="7"/>
            </w:r>
          </w:p>
        </w:tc>
      </w:tr>
      <w:tr w:rsidR="00B964F0" w14:paraId="55A41758" w14:textId="77777777">
        <w:tc>
          <w:tcPr>
            <w:tcW w:w="555" w:type="dxa"/>
            <w:shd w:val="clear" w:color="auto" w:fill="auto"/>
            <w:tcMar>
              <w:top w:w="100" w:type="dxa"/>
              <w:left w:w="100" w:type="dxa"/>
              <w:bottom w:w="100" w:type="dxa"/>
              <w:right w:w="100" w:type="dxa"/>
            </w:tcMar>
          </w:tcPr>
          <w:p w14:paraId="3F478AD6" w14:textId="77777777" w:rsidR="00B964F0" w:rsidRDefault="00000000">
            <w:pPr>
              <w:widowControl w:val="0"/>
              <w:spacing w:line="240" w:lineRule="auto"/>
              <w:jc w:val="center"/>
              <w:rPr>
                <w:sz w:val="24"/>
                <w:szCs w:val="24"/>
              </w:rPr>
            </w:pPr>
            <w:r>
              <w:rPr>
                <w:sz w:val="24"/>
                <w:szCs w:val="24"/>
              </w:rPr>
              <w:t>1</w:t>
            </w:r>
          </w:p>
        </w:tc>
        <w:tc>
          <w:tcPr>
            <w:tcW w:w="2025" w:type="dxa"/>
            <w:shd w:val="clear" w:color="auto" w:fill="auto"/>
            <w:tcMar>
              <w:top w:w="100" w:type="dxa"/>
              <w:left w:w="100" w:type="dxa"/>
              <w:bottom w:w="100" w:type="dxa"/>
              <w:right w:w="100" w:type="dxa"/>
            </w:tcMar>
          </w:tcPr>
          <w:p w14:paraId="36A61959" w14:textId="77777777" w:rsidR="00B964F0" w:rsidRDefault="00000000">
            <w:pPr>
              <w:spacing w:line="240" w:lineRule="auto"/>
              <w:rPr>
                <w:sz w:val="24"/>
                <w:szCs w:val="24"/>
              </w:rPr>
            </w:pPr>
            <w:r>
              <w:rPr>
                <w:sz w:val="24"/>
                <w:szCs w:val="24"/>
              </w:rPr>
              <w:t>Define the estimate’s purpose</w:t>
            </w:r>
          </w:p>
        </w:tc>
        <w:tc>
          <w:tcPr>
            <w:tcW w:w="510" w:type="dxa"/>
            <w:shd w:val="clear" w:color="auto" w:fill="auto"/>
            <w:tcMar>
              <w:top w:w="100" w:type="dxa"/>
              <w:left w:w="100" w:type="dxa"/>
              <w:bottom w:w="100" w:type="dxa"/>
              <w:right w:w="100" w:type="dxa"/>
            </w:tcMar>
          </w:tcPr>
          <w:p w14:paraId="1D272A80" w14:textId="77777777" w:rsidR="00B964F0" w:rsidRDefault="00000000">
            <w:pPr>
              <w:widowControl w:val="0"/>
              <w:spacing w:line="240" w:lineRule="auto"/>
              <w:jc w:val="center"/>
              <w:rPr>
                <w:sz w:val="24"/>
                <w:szCs w:val="24"/>
              </w:rPr>
            </w:pPr>
            <w:r>
              <w:rPr>
                <w:sz w:val="24"/>
                <w:szCs w:val="24"/>
              </w:rPr>
              <w:t>1</w:t>
            </w:r>
          </w:p>
        </w:tc>
        <w:tc>
          <w:tcPr>
            <w:tcW w:w="6255" w:type="dxa"/>
            <w:shd w:val="clear" w:color="auto" w:fill="auto"/>
            <w:tcMar>
              <w:top w:w="100" w:type="dxa"/>
              <w:left w:w="100" w:type="dxa"/>
              <w:bottom w:w="100" w:type="dxa"/>
              <w:right w:w="100" w:type="dxa"/>
            </w:tcMar>
          </w:tcPr>
          <w:p w14:paraId="029628B3" w14:textId="77777777" w:rsidR="00B964F0" w:rsidRDefault="00000000">
            <w:pPr>
              <w:spacing w:line="240" w:lineRule="auto"/>
              <w:rPr>
                <w:sz w:val="24"/>
                <w:szCs w:val="24"/>
              </w:rPr>
            </w:pPr>
            <w:r>
              <w:rPr>
                <w:sz w:val="24"/>
                <w:szCs w:val="24"/>
              </w:rPr>
              <w:t>The cost estimate includes all life cycle costs</w:t>
            </w:r>
          </w:p>
        </w:tc>
      </w:tr>
      <w:tr w:rsidR="00B964F0" w14:paraId="113923A5" w14:textId="77777777">
        <w:tc>
          <w:tcPr>
            <w:tcW w:w="555" w:type="dxa"/>
            <w:shd w:val="clear" w:color="auto" w:fill="auto"/>
            <w:tcMar>
              <w:top w:w="100" w:type="dxa"/>
              <w:left w:w="100" w:type="dxa"/>
              <w:bottom w:w="100" w:type="dxa"/>
              <w:right w:w="100" w:type="dxa"/>
            </w:tcMar>
          </w:tcPr>
          <w:p w14:paraId="13206D48" w14:textId="77777777" w:rsidR="00B964F0" w:rsidRDefault="00000000">
            <w:pPr>
              <w:widowControl w:val="0"/>
              <w:spacing w:line="240" w:lineRule="auto"/>
              <w:jc w:val="center"/>
              <w:rPr>
                <w:sz w:val="24"/>
                <w:szCs w:val="24"/>
              </w:rPr>
            </w:pPr>
            <w:r>
              <w:rPr>
                <w:sz w:val="24"/>
                <w:szCs w:val="24"/>
              </w:rPr>
              <w:t>2</w:t>
            </w:r>
          </w:p>
        </w:tc>
        <w:tc>
          <w:tcPr>
            <w:tcW w:w="2025" w:type="dxa"/>
            <w:shd w:val="clear" w:color="auto" w:fill="auto"/>
            <w:tcMar>
              <w:top w:w="100" w:type="dxa"/>
              <w:left w:w="100" w:type="dxa"/>
              <w:bottom w:w="100" w:type="dxa"/>
              <w:right w:w="100" w:type="dxa"/>
            </w:tcMar>
          </w:tcPr>
          <w:p w14:paraId="5E0D1342" w14:textId="77777777" w:rsidR="00B964F0" w:rsidRDefault="00000000">
            <w:pPr>
              <w:spacing w:line="240" w:lineRule="auto"/>
              <w:rPr>
                <w:sz w:val="24"/>
                <w:szCs w:val="24"/>
              </w:rPr>
            </w:pPr>
            <w:r>
              <w:rPr>
                <w:sz w:val="24"/>
                <w:szCs w:val="24"/>
              </w:rPr>
              <w:t>Develop the estimating plan</w:t>
            </w:r>
          </w:p>
        </w:tc>
        <w:tc>
          <w:tcPr>
            <w:tcW w:w="510" w:type="dxa"/>
            <w:shd w:val="clear" w:color="auto" w:fill="auto"/>
            <w:tcMar>
              <w:top w:w="100" w:type="dxa"/>
              <w:left w:w="100" w:type="dxa"/>
              <w:bottom w:w="100" w:type="dxa"/>
              <w:right w:w="100" w:type="dxa"/>
            </w:tcMar>
          </w:tcPr>
          <w:p w14:paraId="36A8BC58" w14:textId="77777777" w:rsidR="00B964F0" w:rsidRDefault="00000000">
            <w:pPr>
              <w:widowControl w:val="0"/>
              <w:spacing w:line="240" w:lineRule="auto"/>
              <w:jc w:val="center"/>
              <w:rPr>
                <w:sz w:val="24"/>
                <w:szCs w:val="24"/>
              </w:rPr>
            </w:pPr>
            <w:r>
              <w:rPr>
                <w:sz w:val="24"/>
                <w:szCs w:val="24"/>
              </w:rPr>
              <w:t>-</w:t>
            </w:r>
          </w:p>
        </w:tc>
        <w:tc>
          <w:tcPr>
            <w:tcW w:w="6255" w:type="dxa"/>
            <w:shd w:val="clear" w:color="auto" w:fill="auto"/>
            <w:tcMar>
              <w:top w:w="100" w:type="dxa"/>
              <w:left w:w="100" w:type="dxa"/>
              <w:bottom w:w="100" w:type="dxa"/>
              <w:right w:w="100" w:type="dxa"/>
            </w:tcMar>
          </w:tcPr>
          <w:p w14:paraId="024E4EFE" w14:textId="77777777" w:rsidR="00B964F0" w:rsidRDefault="00000000">
            <w:pPr>
              <w:widowControl w:val="0"/>
              <w:spacing w:line="240" w:lineRule="auto"/>
              <w:rPr>
                <w:sz w:val="24"/>
                <w:szCs w:val="24"/>
              </w:rPr>
            </w:pPr>
            <w:r>
              <w:rPr>
                <w:sz w:val="24"/>
                <w:szCs w:val="24"/>
              </w:rPr>
              <w:t>(See Table Note</w:t>
            </w:r>
            <w:r>
              <w:rPr>
                <w:sz w:val="24"/>
                <w:szCs w:val="24"/>
                <w:vertAlign w:val="superscript"/>
              </w:rPr>
              <w:footnoteReference w:id="8"/>
            </w:r>
            <w:r>
              <w:rPr>
                <w:sz w:val="24"/>
                <w:szCs w:val="24"/>
              </w:rPr>
              <w:t>)</w:t>
            </w:r>
          </w:p>
        </w:tc>
      </w:tr>
      <w:tr w:rsidR="00B964F0" w14:paraId="47E079A7" w14:textId="77777777">
        <w:tc>
          <w:tcPr>
            <w:tcW w:w="555" w:type="dxa"/>
            <w:shd w:val="clear" w:color="auto" w:fill="auto"/>
            <w:tcMar>
              <w:top w:w="100" w:type="dxa"/>
              <w:left w:w="100" w:type="dxa"/>
              <w:bottom w:w="100" w:type="dxa"/>
              <w:right w:w="100" w:type="dxa"/>
            </w:tcMar>
          </w:tcPr>
          <w:p w14:paraId="58191B5A" w14:textId="77777777" w:rsidR="00B964F0" w:rsidRDefault="00000000">
            <w:pPr>
              <w:widowControl w:val="0"/>
              <w:spacing w:line="240" w:lineRule="auto"/>
              <w:jc w:val="center"/>
              <w:rPr>
                <w:sz w:val="24"/>
                <w:szCs w:val="24"/>
              </w:rPr>
            </w:pPr>
            <w:r>
              <w:rPr>
                <w:sz w:val="24"/>
                <w:szCs w:val="24"/>
              </w:rPr>
              <w:t>3</w:t>
            </w:r>
          </w:p>
        </w:tc>
        <w:tc>
          <w:tcPr>
            <w:tcW w:w="2025" w:type="dxa"/>
            <w:shd w:val="clear" w:color="auto" w:fill="auto"/>
            <w:tcMar>
              <w:top w:w="100" w:type="dxa"/>
              <w:left w:w="100" w:type="dxa"/>
              <w:bottom w:w="100" w:type="dxa"/>
              <w:right w:w="100" w:type="dxa"/>
            </w:tcMar>
          </w:tcPr>
          <w:p w14:paraId="563B3531" w14:textId="77777777" w:rsidR="00B964F0" w:rsidRDefault="00000000">
            <w:pPr>
              <w:spacing w:line="240" w:lineRule="auto"/>
              <w:rPr>
                <w:sz w:val="24"/>
                <w:szCs w:val="24"/>
              </w:rPr>
            </w:pPr>
            <w:r>
              <w:rPr>
                <w:sz w:val="24"/>
                <w:szCs w:val="24"/>
              </w:rPr>
              <w:t>Define the program</w:t>
            </w:r>
          </w:p>
        </w:tc>
        <w:tc>
          <w:tcPr>
            <w:tcW w:w="510" w:type="dxa"/>
            <w:shd w:val="clear" w:color="auto" w:fill="auto"/>
            <w:tcMar>
              <w:top w:w="100" w:type="dxa"/>
              <w:left w:w="100" w:type="dxa"/>
              <w:bottom w:w="100" w:type="dxa"/>
              <w:right w:w="100" w:type="dxa"/>
            </w:tcMar>
          </w:tcPr>
          <w:p w14:paraId="38748F6A" w14:textId="77777777" w:rsidR="00B964F0" w:rsidRDefault="00000000">
            <w:pPr>
              <w:widowControl w:val="0"/>
              <w:spacing w:line="240" w:lineRule="auto"/>
              <w:jc w:val="center"/>
              <w:rPr>
                <w:sz w:val="24"/>
                <w:szCs w:val="24"/>
              </w:rPr>
            </w:pPr>
            <w:r>
              <w:rPr>
                <w:sz w:val="24"/>
                <w:szCs w:val="24"/>
              </w:rPr>
              <w:t>2</w:t>
            </w:r>
          </w:p>
        </w:tc>
        <w:tc>
          <w:tcPr>
            <w:tcW w:w="6255" w:type="dxa"/>
            <w:shd w:val="clear" w:color="auto" w:fill="auto"/>
            <w:tcMar>
              <w:top w:w="100" w:type="dxa"/>
              <w:left w:w="100" w:type="dxa"/>
              <w:bottom w:w="100" w:type="dxa"/>
              <w:right w:w="100" w:type="dxa"/>
            </w:tcMar>
          </w:tcPr>
          <w:p w14:paraId="6AAE9D96" w14:textId="77777777" w:rsidR="00B964F0" w:rsidRDefault="00000000">
            <w:pPr>
              <w:spacing w:line="240" w:lineRule="auto"/>
              <w:rPr>
                <w:sz w:val="24"/>
                <w:szCs w:val="24"/>
              </w:rPr>
            </w:pPr>
            <w:r>
              <w:rPr>
                <w:sz w:val="24"/>
                <w:szCs w:val="24"/>
              </w:rPr>
              <w:t>The technical baseline description completely defines the program, reflects the current schedule, and is technically reasonable.</w:t>
            </w:r>
          </w:p>
        </w:tc>
      </w:tr>
      <w:tr w:rsidR="00B964F0" w14:paraId="18619355" w14:textId="77777777">
        <w:tc>
          <w:tcPr>
            <w:tcW w:w="555" w:type="dxa"/>
            <w:shd w:val="clear" w:color="auto" w:fill="auto"/>
            <w:tcMar>
              <w:top w:w="100" w:type="dxa"/>
              <w:left w:w="100" w:type="dxa"/>
              <w:bottom w:w="100" w:type="dxa"/>
              <w:right w:w="100" w:type="dxa"/>
            </w:tcMar>
          </w:tcPr>
          <w:p w14:paraId="09A7E6AB" w14:textId="77777777" w:rsidR="00B964F0" w:rsidRDefault="00000000">
            <w:pPr>
              <w:widowControl w:val="0"/>
              <w:spacing w:line="240" w:lineRule="auto"/>
              <w:jc w:val="center"/>
              <w:rPr>
                <w:sz w:val="24"/>
                <w:szCs w:val="24"/>
              </w:rPr>
            </w:pPr>
            <w:r>
              <w:rPr>
                <w:sz w:val="24"/>
                <w:szCs w:val="24"/>
              </w:rPr>
              <w:t>4</w:t>
            </w:r>
          </w:p>
        </w:tc>
        <w:tc>
          <w:tcPr>
            <w:tcW w:w="2025" w:type="dxa"/>
            <w:shd w:val="clear" w:color="auto" w:fill="auto"/>
            <w:tcMar>
              <w:top w:w="100" w:type="dxa"/>
              <w:left w:w="100" w:type="dxa"/>
              <w:bottom w:w="100" w:type="dxa"/>
              <w:right w:w="100" w:type="dxa"/>
            </w:tcMar>
          </w:tcPr>
          <w:p w14:paraId="0948F049" w14:textId="77777777" w:rsidR="00B964F0" w:rsidRDefault="00000000">
            <w:pPr>
              <w:spacing w:line="240" w:lineRule="auto"/>
              <w:rPr>
                <w:sz w:val="24"/>
                <w:szCs w:val="24"/>
              </w:rPr>
            </w:pPr>
            <w:r>
              <w:rPr>
                <w:sz w:val="24"/>
                <w:szCs w:val="24"/>
              </w:rPr>
              <w:t>Determine the estimating structure</w:t>
            </w:r>
          </w:p>
        </w:tc>
        <w:tc>
          <w:tcPr>
            <w:tcW w:w="510" w:type="dxa"/>
            <w:shd w:val="clear" w:color="auto" w:fill="auto"/>
            <w:tcMar>
              <w:top w:w="100" w:type="dxa"/>
              <w:left w:w="100" w:type="dxa"/>
              <w:bottom w:w="100" w:type="dxa"/>
              <w:right w:w="100" w:type="dxa"/>
            </w:tcMar>
          </w:tcPr>
          <w:p w14:paraId="4E36E2E8" w14:textId="77777777" w:rsidR="00B964F0" w:rsidRDefault="00000000">
            <w:pPr>
              <w:widowControl w:val="0"/>
              <w:spacing w:line="240" w:lineRule="auto"/>
              <w:jc w:val="center"/>
              <w:rPr>
                <w:sz w:val="24"/>
                <w:szCs w:val="24"/>
              </w:rPr>
            </w:pPr>
            <w:r>
              <w:rPr>
                <w:sz w:val="24"/>
                <w:szCs w:val="24"/>
              </w:rPr>
              <w:t>3</w:t>
            </w:r>
          </w:p>
        </w:tc>
        <w:tc>
          <w:tcPr>
            <w:tcW w:w="6255" w:type="dxa"/>
            <w:shd w:val="clear" w:color="auto" w:fill="auto"/>
            <w:tcMar>
              <w:top w:w="100" w:type="dxa"/>
              <w:left w:w="100" w:type="dxa"/>
              <w:bottom w:w="100" w:type="dxa"/>
              <w:right w:w="100" w:type="dxa"/>
            </w:tcMar>
          </w:tcPr>
          <w:p w14:paraId="2AABB593" w14:textId="77777777" w:rsidR="00B964F0" w:rsidRDefault="00000000">
            <w:pPr>
              <w:spacing w:line="240" w:lineRule="auto"/>
              <w:rPr>
                <w:sz w:val="24"/>
                <w:szCs w:val="24"/>
              </w:rPr>
            </w:pPr>
            <w:r>
              <w:rPr>
                <w:sz w:val="24"/>
                <w:szCs w:val="24"/>
              </w:rPr>
              <w:t>The cost estimate WBS is product-oriented, traceable to the statement of work, and at an appropriate level of detail to ensure that cost elements are neither omitted nor double-counted.</w:t>
            </w:r>
          </w:p>
        </w:tc>
      </w:tr>
      <w:tr w:rsidR="00B964F0" w14:paraId="5F8AAE05" w14:textId="77777777">
        <w:tc>
          <w:tcPr>
            <w:tcW w:w="555" w:type="dxa"/>
            <w:shd w:val="clear" w:color="auto" w:fill="auto"/>
            <w:tcMar>
              <w:top w:w="100" w:type="dxa"/>
              <w:left w:w="100" w:type="dxa"/>
              <w:bottom w:w="100" w:type="dxa"/>
              <w:right w:w="100" w:type="dxa"/>
            </w:tcMar>
          </w:tcPr>
          <w:p w14:paraId="725DEFEE" w14:textId="77777777" w:rsidR="00B964F0" w:rsidRDefault="00000000">
            <w:pPr>
              <w:widowControl w:val="0"/>
              <w:spacing w:line="240" w:lineRule="auto"/>
              <w:jc w:val="center"/>
              <w:rPr>
                <w:sz w:val="24"/>
                <w:szCs w:val="24"/>
              </w:rPr>
            </w:pPr>
            <w:r>
              <w:rPr>
                <w:sz w:val="24"/>
                <w:szCs w:val="24"/>
              </w:rPr>
              <w:t>5</w:t>
            </w:r>
          </w:p>
        </w:tc>
        <w:tc>
          <w:tcPr>
            <w:tcW w:w="2025" w:type="dxa"/>
            <w:shd w:val="clear" w:color="auto" w:fill="auto"/>
            <w:tcMar>
              <w:top w:w="100" w:type="dxa"/>
              <w:left w:w="100" w:type="dxa"/>
              <w:bottom w:w="100" w:type="dxa"/>
              <w:right w:w="100" w:type="dxa"/>
            </w:tcMar>
          </w:tcPr>
          <w:p w14:paraId="18CA6550" w14:textId="77777777" w:rsidR="00B964F0" w:rsidRDefault="00000000">
            <w:pPr>
              <w:spacing w:line="240" w:lineRule="auto"/>
              <w:rPr>
                <w:sz w:val="24"/>
                <w:szCs w:val="24"/>
              </w:rPr>
            </w:pPr>
            <w:r>
              <w:rPr>
                <w:sz w:val="24"/>
                <w:szCs w:val="24"/>
              </w:rPr>
              <w:t>Identify ground rules and assumptions</w:t>
            </w:r>
          </w:p>
        </w:tc>
        <w:tc>
          <w:tcPr>
            <w:tcW w:w="510" w:type="dxa"/>
            <w:shd w:val="clear" w:color="auto" w:fill="auto"/>
            <w:tcMar>
              <w:top w:w="100" w:type="dxa"/>
              <w:left w:w="100" w:type="dxa"/>
              <w:bottom w:w="100" w:type="dxa"/>
              <w:right w:w="100" w:type="dxa"/>
            </w:tcMar>
          </w:tcPr>
          <w:p w14:paraId="279D7E76" w14:textId="77777777" w:rsidR="00B964F0" w:rsidRDefault="00000000">
            <w:pPr>
              <w:widowControl w:val="0"/>
              <w:spacing w:line="240" w:lineRule="auto"/>
              <w:jc w:val="center"/>
              <w:rPr>
                <w:sz w:val="24"/>
                <w:szCs w:val="24"/>
              </w:rPr>
            </w:pPr>
            <w:r>
              <w:rPr>
                <w:sz w:val="24"/>
                <w:szCs w:val="24"/>
              </w:rPr>
              <w:t>4</w:t>
            </w:r>
          </w:p>
        </w:tc>
        <w:tc>
          <w:tcPr>
            <w:tcW w:w="6255" w:type="dxa"/>
            <w:shd w:val="clear" w:color="auto" w:fill="auto"/>
            <w:tcMar>
              <w:top w:w="100" w:type="dxa"/>
              <w:left w:w="100" w:type="dxa"/>
              <w:bottom w:w="100" w:type="dxa"/>
              <w:right w:w="100" w:type="dxa"/>
            </w:tcMar>
          </w:tcPr>
          <w:p w14:paraId="60094AE2" w14:textId="77777777" w:rsidR="00B964F0" w:rsidRDefault="00000000">
            <w:pPr>
              <w:spacing w:line="240" w:lineRule="auto"/>
              <w:rPr>
                <w:sz w:val="24"/>
                <w:szCs w:val="24"/>
              </w:rPr>
            </w:pPr>
            <w:r>
              <w:rPr>
                <w:sz w:val="24"/>
                <w:szCs w:val="24"/>
              </w:rPr>
              <w:t>The estimate documents all cost-influencing ground rules and assumptions.</w:t>
            </w:r>
          </w:p>
        </w:tc>
      </w:tr>
      <w:tr w:rsidR="00B964F0" w14:paraId="3795800B" w14:textId="77777777">
        <w:trPr>
          <w:trHeight w:val="440"/>
        </w:trPr>
        <w:tc>
          <w:tcPr>
            <w:tcW w:w="555" w:type="dxa"/>
            <w:vMerge w:val="restart"/>
            <w:shd w:val="clear" w:color="auto" w:fill="auto"/>
            <w:tcMar>
              <w:top w:w="100" w:type="dxa"/>
              <w:left w:w="100" w:type="dxa"/>
              <w:bottom w:w="100" w:type="dxa"/>
              <w:right w:w="100" w:type="dxa"/>
            </w:tcMar>
          </w:tcPr>
          <w:p w14:paraId="6642E190" w14:textId="77777777" w:rsidR="00B964F0" w:rsidRDefault="00000000">
            <w:pPr>
              <w:widowControl w:val="0"/>
              <w:spacing w:line="240" w:lineRule="auto"/>
              <w:jc w:val="center"/>
              <w:rPr>
                <w:sz w:val="24"/>
                <w:szCs w:val="24"/>
              </w:rPr>
            </w:pPr>
            <w:r>
              <w:rPr>
                <w:sz w:val="24"/>
                <w:szCs w:val="24"/>
              </w:rPr>
              <w:t>6</w:t>
            </w:r>
          </w:p>
        </w:tc>
        <w:tc>
          <w:tcPr>
            <w:tcW w:w="2025" w:type="dxa"/>
            <w:vMerge w:val="restart"/>
            <w:shd w:val="clear" w:color="auto" w:fill="auto"/>
            <w:tcMar>
              <w:top w:w="100" w:type="dxa"/>
              <w:left w:w="100" w:type="dxa"/>
              <w:bottom w:w="100" w:type="dxa"/>
              <w:right w:w="100" w:type="dxa"/>
            </w:tcMar>
          </w:tcPr>
          <w:p w14:paraId="2ED432CC" w14:textId="77777777" w:rsidR="00B964F0" w:rsidRDefault="00000000">
            <w:pPr>
              <w:widowControl w:val="0"/>
              <w:spacing w:line="240" w:lineRule="auto"/>
              <w:rPr>
                <w:sz w:val="24"/>
                <w:szCs w:val="24"/>
              </w:rPr>
            </w:pPr>
            <w:r>
              <w:rPr>
                <w:sz w:val="24"/>
                <w:szCs w:val="24"/>
              </w:rPr>
              <w:t>Obtain the Data</w:t>
            </w:r>
          </w:p>
        </w:tc>
        <w:tc>
          <w:tcPr>
            <w:tcW w:w="510" w:type="dxa"/>
            <w:shd w:val="clear" w:color="auto" w:fill="auto"/>
            <w:tcMar>
              <w:top w:w="100" w:type="dxa"/>
              <w:left w:w="100" w:type="dxa"/>
              <w:bottom w:w="100" w:type="dxa"/>
              <w:right w:w="100" w:type="dxa"/>
            </w:tcMar>
          </w:tcPr>
          <w:p w14:paraId="1DAD7BA7" w14:textId="77777777" w:rsidR="00B964F0" w:rsidRDefault="00000000">
            <w:pPr>
              <w:widowControl w:val="0"/>
              <w:spacing w:line="240" w:lineRule="auto"/>
              <w:jc w:val="center"/>
              <w:rPr>
                <w:sz w:val="24"/>
                <w:szCs w:val="24"/>
              </w:rPr>
            </w:pPr>
            <w:r>
              <w:rPr>
                <w:sz w:val="24"/>
                <w:szCs w:val="24"/>
              </w:rPr>
              <w:t>5</w:t>
            </w:r>
          </w:p>
        </w:tc>
        <w:tc>
          <w:tcPr>
            <w:tcW w:w="6255" w:type="dxa"/>
            <w:shd w:val="clear" w:color="auto" w:fill="auto"/>
            <w:tcMar>
              <w:top w:w="100" w:type="dxa"/>
              <w:left w:w="100" w:type="dxa"/>
              <w:bottom w:w="100" w:type="dxa"/>
              <w:right w:w="100" w:type="dxa"/>
            </w:tcMar>
          </w:tcPr>
          <w:p w14:paraId="236D6A58" w14:textId="77777777" w:rsidR="00B964F0" w:rsidRDefault="00000000">
            <w:pPr>
              <w:spacing w:line="240" w:lineRule="auto"/>
              <w:rPr>
                <w:sz w:val="24"/>
                <w:szCs w:val="24"/>
              </w:rPr>
            </w:pPr>
            <w:r>
              <w:rPr>
                <w:sz w:val="24"/>
                <w:szCs w:val="24"/>
              </w:rPr>
              <w:t>The estimate is based on a historical record of cost estimating and actual experiences from other comparable programs.</w:t>
            </w:r>
          </w:p>
        </w:tc>
      </w:tr>
      <w:tr w:rsidR="00B964F0" w14:paraId="54755F54" w14:textId="77777777">
        <w:trPr>
          <w:trHeight w:val="440"/>
        </w:trPr>
        <w:tc>
          <w:tcPr>
            <w:tcW w:w="555" w:type="dxa"/>
            <w:vMerge/>
            <w:shd w:val="clear" w:color="auto" w:fill="auto"/>
            <w:tcMar>
              <w:top w:w="100" w:type="dxa"/>
              <w:left w:w="100" w:type="dxa"/>
              <w:bottom w:w="100" w:type="dxa"/>
              <w:right w:w="100" w:type="dxa"/>
            </w:tcMar>
          </w:tcPr>
          <w:p w14:paraId="7D5E0A2C" w14:textId="77777777" w:rsidR="00B964F0" w:rsidRDefault="00B964F0">
            <w:pPr>
              <w:widowControl w:val="0"/>
              <w:spacing w:line="240" w:lineRule="auto"/>
              <w:jc w:val="center"/>
              <w:rPr>
                <w:sz w:val="24"/>
                <w:szCs w:val="24"/>
              </w:rPr>
            </w:pPr>
          </w:p>
        </w:tc>
        <w:tc>
          <w:tcPr>
            <w:tcW w:w="2025" w:type="dxa"/>
            <w:vMerge/>
            <w:shd w:val="clear" w:color="auto" w:fill="auto"/>
            <w:tcMar>
              <w:top w:w="100" w:type="dxa"/>
              <w:left w:w="100" w:type="dxa"/>
              <w:bottom w:w="100" w:type="dxa"/>
              <w:right w:w="100" w:type="dxa"/>
            </w:tcMar>
          </w:tcPr>
          <w:p w14:paraId="1BB93492" w14:textId="77777777" w:rsidR="00B964F0" w:rsidRDefault="00B964F0">
            <w:pPr>
              <w:widowControl w:val="0"/>
              <w:spacing w:line="240" w:lineRule="auto"/>
              <w:rPr>
                <w:sz w:val="24"/>
                <w:szCs w:val="24"/>
              </w:rPr>
            </w:pPr>
          </w:p>
        </w:tc>
        <w:tc>
          <w:tcPr>
            <w:tcW w:w="510" w:type="dxa"/>
            <w:shd w:val="clear" w:color="auto" w:fill="auto"/>
            <w:tcMar>
              <w:top w:w="100" w:type="dxa"/>
              <w:left w:w="100" w:type="dxa"/>
              <w:bottom w:w="100" w:type="dxa"/>
              <w:right w:w="100" w:type="dxa"/>
            </w:tcMar>
          </w:tcPr>
          <w:p w14:paraId="2B227ECF" w14:textId="77777777" w:rsidR="00B964F0" w:rsidRDefault="00000000">
            <w:pPr>
              <w:widowControl w:val="0"/>
              <w:spacing w:line="240" w:lineRule="auto"/>
              <w:jc w:val="center"/>
              <w:rPr>
                <w:sz w:val="24"/>
                <w:szCs w:val="24"/>
              </w:rPr>
            </w:pPr>
            <w:r>
              <w:rPr>
                <w:sz w:val="24"/>
                <w:szCs w:val="24"/>
              </w:rPr>
              <w:t>6</w:t>
            </w:r>
          </w:p>
        </w:tc>
        <w:tc>
          <w:tcPr>
            <w:tcW w:w="6255" w:type="dxa"/>
            <w:shd w:val="clear" w:color="auto" w:fill="auto"/>
            <w:tcMar>
              <w:top w:w="100" w:type="dxa"/>
              <w:left w:w="100" w:type="dxa"/>
              <w:bottom w:w="100" w:type="dxa"/>
              <w:right w:w="100" w:type="dxa"/>
            </w:tcMar>
          </w:tcPr>
          <w:p w14:paraId="6567A6C2" w14:textId="77777777" w:rsidR="00B964F0" w:rsidRDefault="00000000">
            <w:pPr>
              <w:spacing w:line="240" w:lineRule="auto"/>
              <w:rPr>
                <w:sz w:val="24"/>
                <w:szCs w:val="24"/>
              </w:rPr>
            </w:pPr>
            <w:r>
              <w:rPr>
                <w:sz w:val="24"/>
                <w:szCs w:val="24"/>
              </w:rPr>
              <w:t>The estimate is adjusted properly for inflation.</w:t>
            </w:r>
          </w:p>
        </w:tc>
      </w:tr>
      <w:tr w:rsidR="00B964F0" w14:paraId="0E1989C7" w14:textId="77777777">
        <w:trPr>
          <w:trHeight w:val="440"/>
        </w:trPr>
        <w:tc>
          <w:tcPr>
            <w:tcW w:w="555" w:type="dxa"/>
            <w:vMerge w:val="restart"/>
            <w:shd w:val="clear" w:color="auto" w:fill="auto"/>
            <w:tcMar>
              <w:top w:w="100" w:type="dxa"/>
              <w:left w:w="100" w:type="dxa"/>
              <w:bottom w:w="100" w:type="dxa"/>
              <w:right w:w="100" w:type="dxa"/>
            </w:tcMar>
          </w:tcPr>
          <w:p w14:paraId="35D70736" w14:textId="77777777" w:rsidR="00B964F0" w:rsidRDefault="00000000">
            <w:pPr>
              <w:widowControl w:val="0"/>
              <w:spacing w:line="240" w:lineRule="auto"/>
              <w:jc w:val="center"/>
              <w:rPr>
                <w:sz w:val="24"/>
                <w:szCs w:val="24"/>
              </w:rPr>
            </w:pPr>
            <w:r>
              <w:rPr>
                <w:sz w:val="24"/>
                <w:szCs w:val="24"/>
              </w:rPr>
              <w:t>7</w:t>
            </w:r>
          </w:p>
        </w:tc>
        <w:tc>
          <w:tcPr>
            <w:tcW w:w="2025" w:type="dxa"/>
            <w:vMerge w:val="restart"/>
            <w:shd w:val="clear" w:color="auto" w:fill="auto"/>
            <w:tcMar>
              <w:top w:w="100" w:type="dxa"/>
              <w:left w:w="100" w:type="dxa"/>
              <w:bottom w:w="100" w:type="dxa"/>
              <w:right w:w="100" w:type="dxa"/>
            </w:tcMar>
          </w:tcPr>
          <w:p w14:paraId="153C7976" w14:textId="77777777" w:rsidR="00B964F0" w:rsidRDefault="00000000">
            <w:pPr>
              <w:widowControl w:val="0"/>
              <w:spacing w:line="240" w:lineRule="auto"/>
              <w:rPr>
                <w:sz w:val="24"/>
                <w:szCs w:val="24"/>
              </w:rPr>
            </w:pPr>
            <w:r>
              <w:rPr>
                <w:sz w:val="24"/>
                <w:szCs w:val="24"/>
              </w:rPr>
              <w:t>Develop the Point Estimate</w:t>
            </w:r>
          </w:p>
        </w:tc>
        <w:tc>
          <w:tcPr>
            <w:tcW w:w="510" w:type="dxa"/>
            <w:shd w:val="clear" w:color="auto" w:fill="auto"/>
            <w:tcMar>
              <w:top w:w="100" w:type="dxa"/>
              <w:left w:w="100" w:type="dxa"/>
              <w:bottom w:w="100" w:type="dxa"/>
              <w:right w:w="100" w:type="dxa"/>
            </w:tcMar>
          </w:tcPr>
          <w:p w14:paraId="4C0C6B59" w14:textId="77777777" w:rsidR="00B964F0" w:rsidRDefault="00000000">
            <w:pPr>
              <w:widowControl w:val="0"/>
              <w:spacing w:line="240" w:lineRule="auto"/>
              <w:jc w:val="center"/>
              <w:rPr>
                <w:sz w:val="24"/>
                <w:szCs w:val="24"/>
              </w:rPr>
            </w:pPr>
            <w:r>
              <w:rPr>
                <w:sz w:val="24"/>
                <w:szCs w:val="24"/>
              </w:rPr>
              <w:t>7</w:t>
            </w:r>
          </w:p>
        </w:tc>
        <w:tc>
          <w:tcPr>
            <w:tcW w:w="6255" w:type="dxa"/>
            <w:shd w:val="clear" w:color="auto" w:fill="auto"/>
            <w:tcMar>
              <w:top w:w="100" w:type="dxa"/>
              <w:left w:w="100" w:type="dxa"/>
              <w:bottom w:w="100" w:type="dxa"/>
              <w:right w:w="100" w:type="dxa"/>
            </w:tcMar>
          </w:tcPr>
          <w:p w14:paraId="137F1A1D" w14:textId="77777777" w:rsidR="00B964F0" w:rsidRDefault="00000000">
            <w:pPr>
              <w:spacing w:line="240" w:lineRule="auto"/>
              <w:rPr>
                <w:sz w:val="24"/>
                <w:szCs w:val="24"/>
              </w:rPr>
            </w:pPr>
            <w:r>
              <w:rPr>
                <w:sz w:val="24"/>
                <w:szCs w:val="24"/>
              </w:rPr>
              <w:t>The cost model is developed by estimating each WBS element using the best methodology from the data collected.</w:t>
            </w:r>
          </w:p>
        </w:tc>
      </w:tr>
      <w:tr w:rsidR="00B964F0" w14:paraId="7343B9F6" w14:textId="77777777">
        <w:trPr>
          <w:trHeight w:val="440"/>
        </w:trPr>
        <w:tc>
          <w:tcPr>
            <w:tcW w:w="555" w:type="dxa"/>
            <w:vMerge/>
            <w:shd w:val="clear" w:color="auto" w:fill="auto"/>
            <w:tcMar>
              <w:top w:w="100" w:type="dxa"/>
              <w:left w:w="100" w:type="dxa"/>
              <w:bottom w:w="100" w:type="dxa"/>
              <w:right w:w="100" w:type="dxa"/>
            </w:tcMar>
          </w:tcPr>
          <w:p w14:paraId="04C75676" w14:textId="77777777" w:rsidR="00B964F0" w:rsidRDefault="00B964F0">
            <w:pPr>
              <w:widowControl w:val="0"/>
              <w:spacing w:line="240" w:lineRule="auto"/>
              <w:jc w:val="center"/>
              <w:rPr>
                <w:sz w:val="24"/>
                <w:szCs w:val="24"/>
              </w:rPr>
            </w:pPr>
          </w:p>
        </w:tc>
        <w:tc>
          <w:tcPr>
            <w:tcW w:w="2025" w:type="dxa"/>
            <w:vMerge/>
            <w:shd w:val="clear" w:color="auto" w:fill="auto"/>
            <w:tcMar>
              <w:top w:w="100" w:type="dxa"/>
              <w:left w:w="100" w:type="dxa"/>
              <w:bottom w:w="100" w:type="dxa"/>
              <w:right w:w="100" w:type="dxa"/>
            </w:tcMar>
          </w:tcPr>
          <w:p w14:paraId="6E4CA510" w14:textId="77777777" w:rsidR="00B964F0" w:rsidRDefault="00B964F0">
            <w:pPr>
              <w:widowControl w:val="0"/>
              <w:spacing w:line="240" w:lineRule="auto"/>
              <w:rPr>
                <w:sz w:val="24"/>
                <w:szCs w:val="24"/>
              </w:rPr>
            </w:pPr>
          </w:p>
        </w:tc>
        <w:tc>
          <w:tcPr>
            <w:tcW w:w="510" w:type="dxa"/>
            <w:shd w:val="clear" w:color="auto" w:fill="auto"/>
            <w:tcMar>
              <w:top w:w="100" w:type="dxa"/>
              <w:left w:w="100" w:type="dxa"/>
              <w:bottom w:w="100" w:type="dxa"/>
              <w:right w:w="100" w:type="dxa"/>
            </w:tcMar>
          </w:tcPr>
          <w:p w14:paraId="0D65397F" w14:textId="77777777" w:rsidR="00B964F0" w:rsidRDefault="00000000">
            <w:pPr>
              <w:widowControl w:val="0"/>
              <w:spacing w:line="240" w:lineRule="auto"/>
              <w:jc w:val="center"/>
              <w:rPr>
                <w:sz w:val="24"/>
                <w:szCs w:val="24"/>
              </w:rPr>
            </w:pPr>
            <w:r>
              <w:rPr>
                <w:sz w:val="24"/>
                <w:szCs w:val="24"/>
              </w:rPr>
              <w:t>8</w:t>
            </w:r>
          </w:p>
        </w:tc>
        <w:tc>
          <w:tcPr>
            <w:tcW w:w="6255" w:type="dxa"/>
            <w:shd w:val="clear" w:color="auto" w:fill="auto"/>
            <w:tcMar>
              <w:top w:w="100" w:type="dxa"/>
              <w:left w:w="100" w:type="dxa"/>
              <w:bottom w:w="100" w:type="dxa"/>
              <w:right w:w="100" w:type="dxa"/>
            </w:tcMar>
          </w:tcPr>
          <w:p w14:paraId="7F5B7927" w14:textId="77777777" w:rsidR="00B964F0" w:rsidRDefault="00000000">
            <w:pPr>
              <w:spacing w:line="240" w:lineRule="auto"/>
              <w:rPr>
                <w:sz w:val="24"/>
                <w:szCs w:val="24"/>
              </w:rPr>
            </w:pPr>
            <w:r>
              <w:rPr>
                <w:sz w:val="24"/>
                <w:szCs w:val="24"/>
              </w:rPr>
              <w:t>The estimate contains few, if any, minor mistakes.</w:t>
            </w:r>
          </w:p>
        </w:tc>
      </w:tr>
      <w:tr w:rsidR="00B964F0" w14:paraId="575B7976" w14:textId="77777777">
        <w:trPr>
          <w:trHeight w:val="440"/>
        </w:trPr>
        <w:tc>
          <w:tcPr>
            <w:tcW w:w="555" w:type="dxa"/>
            <w:vMerge/>
            <w:shd w:val="clear" w:color="auto" w:fill="auto"/>
            <w:tcMar>
              <w:top w:w="100" w:type="dxa"/>
              <w:left w:w="100" w:type="dxa"/>
              <w:bottom w:w="100" w:type="dxa"/>
              <w:right w:w="100" w:type="dxa"/>
            </w:tcMar>
          </w:tcPr>
          <w:p w14:paraId="084208AF" w14:textId="77777777" w:rsidR="00B964F0" w:rsidRDefault="00B964F0">
            <w:pPr>
              <w:widowControl w:val="0"/>
              <w:spacing w:line="240" w:lineRule="auto"/>
              <w:jc w:val="center"/>
              <w:rPr>
                <w:sz w:val="24"/>
                <w:szCs w:val="24"/>
              </w:rPr>
            </w:pPr>
          </w:p>
        </w:tc>
        <w:tc>
          <w:tcPr>
            <w:tcW w:w="2025" w:type="dxa"/>
            <w:vMerge/>
            <w:shd w:val="clear" w:color="auto" w:fill="auto"/>
            <w:tcMar>
              <w:top w:w="100" w:type="dxa"/>
              <w:left w:w="100" w:type="dxa"/>
              <w:bottom w:w="100" w:type="dxa"/>
              <w:right w:w="100" w:type="dxa"/>
            </w:tcMar>
          </w:tcPr>
          <w:p w14:paraId="6853CDDB" w14:textId="77777777" w:rsidR="00B964F0" w:rsidRDefault="00B964F0">
            <w:pPr>
              <w:widowControl w:val="0"/>
              <w:spacing w:line="240" w:lineRule="auto"/>
              <w:rPr>
                <w:sz w:val="24"/>
                <w:szCs w:val="24"/>
              </w:rPr>
            </w:pPr>
          </w:p>
        </w:tc>
        <w:tc>
          <w:tcPr>
            <w:tcW w:w="510" w:type="dxa"/>
            <w:shd w:val="clear" w:color="auto" w:fill="auto"/>
            <w:tcMar>
              <w:top w:w="100" w:type="dxa"/>
              <w:left w:w="100" w:type="dxa"/>
              <w:bottom w:w="100" w:type="dxa"/>
              <w:right w:w="100" w:type="dxa"/>
            </w:tcMar>
          </w:tcPr>
          <w:p w14:paraId="720D31CF" w14:textId="77777777" w:rsidR="00B964F0" w:rsidRDefault="00000000">
            <w:pPr>
              <w:widowControl w:val="0"/>
              <w:spacing w:line="240" w:lineRule="auto"/>
              <w:jc w:val="center"/>
              <w:rPr>
                <w:sz w:val="24"/>
                <w:szCs w:val="24"/>
              </w:rPr>
            </w:pPr>
            <w:r>
              <w:rPr>
                <w:sz w:val="24"/>
                <w:szCs w:val="24"/>
              </w:rPr>
              <w:t>9</w:t>
            </w:r>
          </w:p>
        </w:tc>
        <w:tc>
          <w:tcPr>
            <w:tcW w:w="6255" w:type="dxa"/>
            <w:shd w:val="clear" w:color="auto" w:fill="auto"/>
            <w:tcMar>
              <w:top w:w="100" w:type="dxa"/>
              <w:left w:w="100" w:type="dxa"/>
              <w:bottom w:w="100" w:type="dxa"/>
              <w:right w:w="100" w:type="dxa"/>
            </w:tcMar>
          </w:tcPr>
          <w:p w14:paraId="7F3CB793" w14:textId="77777777" w:rsidR="00B964F0" w:rsidRDefault="00000000">
            <w:pPr>
              <w:spacing w:line="240" w:lineRule="auto"/>
              <w:rPr>
                <w:sz w:val="24"/>
                <w:szCs w:val="24"/>
              </w:rPr>
            </w:pPr>
            <w:r>
              <w:rPr>
                <w:sz w:val="24"/>
                <w:szCs w:val="24"/>
              </w:rPr>
              <w:t>Major cost elements are cross checked to see if results are similar.</w:t>
            </w:r>
          </w:p>
        </w:tc>
      </w:tr>
      <w:tr w:rsidR="00B964F0" w14:paraId="173CA749" w14:textId="77777777">
        <w:trPr>
          <w:trHeight w:val="440"/>
        </w:trPr>
        <w:tc>
          <w:tcPr>
            <w:tcW w:w="555" w:type="dxa"/>
            <w:vMerge/>
            <w:shd w:val="clear" w:color="auto" w:fill="auto"/>
            <w:tcMar>
              <w:top w:w="100" w:type="dxa"/>
              <w:left w:w="100" w:type="dxa"/>
              <w:bottom w:w="100" w:type="dxa"/>
              <w:right w:w="100" w:type="dxa"/>
            </w:tcMar>
          </w:tcPr>
          <w:p w14:paraId="6B4F95D5" w14:textId="77777777" w:rsidR="00B964F0" w:rsidRDefault="00B964F0">
            <w:pPr>
              <w:widowControl w:val="0"/>
              <w:spacing w:line="240" w:lineRule="auto"/>
              <w:jc w:val="center"/>
              <w:rPr>
                <w:sz w:val="24"/>
                <w:szCs w:val="24"/>
              </w:rPr>
            </w:pPr>
          </w:p>
        </w:tc>
        <w:tc>
          <w:tcPr>
            <w:tcW w:w="2025" w:type="dxa"/>
            <w:vMerge/>
            <w:shd w:val="clear" w:color="auto" w:fill="auto"/>
            <w:tcMar>
              <w:top w:w="100" w:type="dxa"/>
              <w:left w:w="100" w:type="dxa"/>
              <w:bottom w:w="100" w:type="dxa"/>
              <w:right w:w="100" w:type="dxa"/>
            </w:tcMar>
          </w:tcPr>
          <w:p w14:paraId="6733F0C8" w14:textId="77777777" w:rsidR="00B964F0" w:rsidRDefault="00B964F0">
            <w:pPr>
              <w:widowControl w:val="0"/>
              <w:spacing w:line="240" w:lineRule="auto"/>
              <w:rPr>
                <w:sz w:val="24"/>
                <w:szCs w:val="24"/>
              </w:rPr>
            </w:pPr>
          </w:p>
        </w:tc>
        <w:tc>
          <w:tcPr>
            <w:tcW w:w="510" w:type="dxa"/>
            <w:shd w:val="clear" w:color="auto" w:fill="auto"/>
            <w:tcMar>
              <w:top w:w="100" w:type="dxa"/>
              <w:left w:w="100" w:type="dxa"/>
              <w:bottom w:w="100" w:type="dxa"/>
              <w:right w:w="100" w:type="dxa"/>
            </w:tcMar>
          </w:tcPr>
          <w:p w14:paraId="4EA911C8" w14:textId="77777777" w:rsidR="00B964F0" w:rsidRDefault="00000000">
            <w:pPr>
              <w:widowControl w:val="0"/>
              <w:spacing w:line="240" w:lineRule="auto"/>
              <w:jc w:val="center"/>
              <w:rPr>
                <w:sz w:val="24"/>
                <w:szCs w:val="24"/>
              </w:rPr>
            </w:pPr>
            <w:r>
              <w:rPr>
                <w:sz w:val="24"/>
                <w:szCs w:val="24"/>
              </w:rPr>
              <w:t>10</w:t>
            </w:r>
          </w:p>
        </w:tc>
        <w:tc>
          <w:tcPr>
            <w:tcW w:w="6255" w:type="dxa"/>
            <w:shd w:val="clear" w:color="auto" w:fill="auto"/>
            <w:tcMar>
              <w:top w:w="100" w:type="dxa"/>
              <w:left w:w="100" w:type="dxa"/>
              <w:bottom w:w="100" w:type="dxa"/>
              <w:right w:w="100" w:type="dxa"/>
            </w:tcMar>
          </w:tcPr>
          <w:p w14:paraId="471BF96D" w14:textId="77777777" w:rsidR="00B964F0" w:rsidRDefault="00000000">
            <w:pPr>
              <w:spacing w:line="240" w:lineRule="auto"/>
              <w:rPr>
                <w:sz w:val="24"/>
                <w:szCs w:val="24"/>
              </w:rPr>
            </w:pPr>
            <w:r>
              <w:rPr>
                <w:sz w:val="24"/>
                <w:szCs w:val="24"/>
              </w:rPr>
              <w:t>An independent cost estimate is conducted by a group outside the acquiring organization to determine whether other estimating methods produce similar results.</w:t>
            </w:r>
          </w:p>
        </w:tc>
      </w:tr>
      <w:tr w:rsidR="00B964F0" w14:paraId="5C905F36" w14:textId="77777777">
        <w:tc>
          <w:tcPr>
            <w:tcW w:w="555" w:type="dxa"/>
            <w:shd w:val="clear" w:color="auto" w:fill="auto"/>
            <w:tcMar>
              <w:top w:w="100" w:type="dxa"/>
              <w:left w:w="100" w:type="dxa"/>
              <w:bottom w:w="100" w:type="dxa"/>
              <w:right w:w="100" w:type="dxa"/>
            </w:tcMar>
          </w:tcPr>
          <w:p w14:paraId="0CEA6973" w14:textId="77777777" w:rsidR="00B964F0" w:rsidRDefault="00000000">
            <w:pPr>
              <w:widowControl w:val="0"/>
              <w:spacing w:line="240" w:lineRule="auto"/>
              <w:jc w:val="center"/>
              <w:rPr>
                <w:sz w:val="24"/>
                <w:szCs w:val="24"/>
              </w:rPr>
            </w:pPr>
            <w:r>
              <w:rPr>
                <w:sz w:val="24"/>
                <w:szCs w:val="24"/>
              </w:rPr>
              <w:t>8</w:t>
            </w:r>
          </w:p>
        </w:tc>
        <w:tc>
          <w:tcPr>
            <w:tcW w:w="2025" w:type="dxa"/>
            <w:shd w:val="clear" w:color="auto" w:fill="auto"/>
            <w:tcMar>
              <w:top w:w="100" w:type="dxa"/>
              <w:left w:w="100" w:type="dxa"/>
              <w:bottom w:w="100" w:type="dxa"/>
              <w:right w:w="100" w:type="dxa"/>
            </w:tcMar>
          </w:tcPr>
          <w:p w14:paraId="17DC10A9" w14:textId="77777777" w:rsidR="00B964F0" w:rsidRDefault="00000000">
            <w:pPr>
              <w:spacing w:line="240" w:lineRule="auto"/>
              <w:rPr>
                <w:sz w:val="24"/>
                <w:szCs w:val="24"/>
              </w:rPr>
            </w:pPr>
            <w:r>
              <w:rPr>
                <w:sz w:val="24"/>
                <w:szCs w:val="24"/>
              </w:rPr>
              <w:t>Conduct sensitivity analysis</w:t>
            </w:r>
          </w:p>
        </w:tc>
        <w:tc>
          <w:tcPr>
            <w:tcW w:w="510" w:type="dxa"/>
            <w:shd w:val="clear" w:color="auto" w:fill="auto"/>
            <w:tcMar>
              <w:top w:w="100" w:type="dxa"/>
              <w:left w:w="100" w:type="dxa"/>
              <w:bottom w:w="100" w:type="dxa"/>
              <w:right w:w="100" w:type="dxa"/>
            </w:tcMar>
          </w:tcPr>
          <w:p w14:paraId="7077D97D" w14:textId="77777777" w:rsidR="00B964F0" w:rsidRDefault="00000000">
            <w:pPr>
              <w:widowControl w:val="0"/>
              <w:spacing w:line="240" w:lineRule="auto"/>
              <w:jc w:val="center"/>
              <w:rPr>
                <w:sz w:val="24"/>
                <w:szCs w:val="24"/>
              </w:rPr>
            </w:pPr>
            <w:r>
              <w:rPr>
                <w:sz w:val="24"/>
                <w:szCs w:val="24"/>
              </w:rPr>
              <w:t>11</w:t>
            </w:r>
          </w:p>
        </w:tc>
        <w:tc>
          <w:tcPr>
            <w:tcW w:w="6255" w:type="dxa"/>
            <w:shd w:val="clear" w:color="auto" w:fill="auto"/>
            <w:tcMar>
              <w:top w:w="100" w:type="dxa"/>
              <w:left w:w="100" w:type="dxa"/>
              <w:bottom w:w="100" w:type="dxa"/>
              <w:right w:w="100" w:type="dxa"/>
            </w:tcMar>
          </w:tcPr>
          <w:p w14:paraId="40DF9628" w14:textId="77777777" w:rsidR="00B964F0" w:rsidRDefault="00000000">
            <w:pPr>
              <w:spacing w:line="240" w:lineRule="auto"/>
              <w:rPr>
                <w:sz w:val="24"/>
                <w:szCs w:val="24"/>
              </w:rPr>
            </w:pPr>
            <w:r>
              <w:rPr>
                <w:sz w:val="24"/>
                <w:szCs w:val="24"/>
              </w:rPr>
              <w:t>The cost estimate includes a sensitivity analysis that identifies a range of possible costs based on varying major assumptions and parameters.</w:t>
            </w:r>
          </w:p>
        </w:tc>
      </w:tr>
      <w:tr w:rsidR="00B964F0" w14:paraId="411E85EA" w14:textId="77777777">
        <w:tc>
          <w:tcPr>
            <w:tcW w:w="555" w:type="dxa"/>
            <w:shd w:val="clear" w:color="auto" w:fill="auto"/>
            <w:tcMar>
              <w:top w:w="100" w:type="dxa"/>
              <w:left w:w="100" w:type="dxa"/>
              <w:bottom w:w="100" w:type="dxa"/>
              <w:right w:w="100" w:type="dxa"/>
            </w:tcMar>
          </w:tcPr>
          <w:p w14:paraId="29A17CED" w14:textId="77777777" w:rsidR="00B964F0" w:rsidRDefault="00000000">
            <w:pPr>
              <w:widowControl w:val="0"/>
              <w:spacing w:line="240" w:lineRule="auto"/>
              <w:jc w:val="center"/>
              <w:rPr>
                <w:sz w:val="24"/>
                <w:szCs w:val="24"/>
              </w:rPr>
            </w:pPr>
            <w:r>
              <w:rPr>
                <w:sz w:val="24"/>
                <w:szCs w:val="24"/>
              </w:rPr>
              <w:t>9</w:t>
            </w:r>
          </w:p>
        </w:tc>
        <w:tc>
          <w:tcPr>
            <w:tcW w:w="2025" w:type="dxa"/>
            <w:shd w:val="clear" w:color="auto" w:fill="auto"/>
            <w:tcMar>
              <w:top w:w="100" w:type="dxa"/>
              <w:left w:w="100" w:type="dxa"/>
              <w:bottom w:w="100" w:type="dxa"/>
              <w:right w:w="100" w:type="dxa"/>
            </w:tcMar>
          </w:tcPr>
          <w:p w14:paraId="33424F90" w14:textId="77777777" w:rsidR="00B964F0" w:rsidRDefault="00000000">
            <w:pPr>
              <w:spacing w:line="240" w:lineRule="auto"/>
              <w:rPr>
                <w:sz w:val="24"/>
                <w:szCs w:val="24"/>
              </w:rPr>
            </w:pPr>
            <w:r>
              <w:rPr>
                <w:sz w:val="24"/>
                <w:szCs w:val="24"/>
              </w:rPr>
              <w:t>Conduct risk and uncertainty analysis</w:t>
            </w:r>
          </w:p>
        </w:tc>
        <w:tc>
          <w:tcPr>
            <w:tcW w:w="510" w:type="dxa"/>
            <w:shd w:val="clear" w:color="auto" w:fill="auto"/>
            <w:tcMar>
              <w:top w:w="100" w:type="dxa"/>
              <w:left w:w="100" w:type="dxa"/>
              <w:bottom w:w="100" w:type="dxa"/>
              <w:right w:w="100" w:type="dxa"/>
            </w:tcMar>
          </w:tcPr>
          <w:p w14:paraId="11F31B63" w14:textId="77777777" w:rsidR="00B964F0" w:rsidRDefault="00000000">
            <w:pPr>
              <w:widowControl w:val="0"/>
              <w:spacing w:line="240" w:lineRule="auto"/>
              <w:jc w:val="center"/>
              <w:rPr>
                <w:sz w:val="24"/>
                <w:szCs w:val="24"/>
              </w:rPr>
            </w:pPr>
            <w:r>
              <w:rPr>
                <w:sz w:val="24"/>
                <w:szCs w:val="24"/>
              </w:rPr>
              <w:t>12</w:t>
            </w:r>
          </w:p>
        </w:tc>
        <w:tc>
          <w:tcPr>
            <w:tcW w:w="6255" w:type="dxa"/>
            <w:shd w:val="clear" w:color="auto" w:fill="auto"/>
            <w:tcMar>
              <w:top w:w="100" w:type="dxa"/>
              <w:left w:w="100" w:type="dxa"/>
              <w:bottom w:w="100" w:type="dxa"/>
              <w:right w:w="100" w:type="dxa"/>
            </w:tcMar>
          </w:tcPr>
          <w:p w14:paraId="366E50CC" w14:textId="77777777" w:rsidR="00B964F0" w:rsidRDefault="00000000">
            <w:pPr>
              <w:spacing w:line="240" w:lineRule="auto"/>
              <w:rPr>
                <w:sz w:val="24"/>
                <w:szCs w:val="24"/>
              </w:rPr>
            </w:pPr>
            <w:r>
              <w:rPr>
                <w:sz w:val="24"/>
                <w:szCs w:val="24"/>
              </w:rPr>
              <w:t xml:space="preserve">A risk and uncertainty analysis </w:t>
            </w:r>
            <w:proofErr w:type="gramStart"/>
            <w:r>
              <w:rPr>
                <w:sz w:val="24"/>
                <w:szCs w:val="24"/>
              </w:rPr>
              <w:t>is</w:t>
            </w:r>
            <w:proofErr w:type="gramEnd"/>
            <w:r>
              <w:rPr>
                <w:sz w:val="24"/>
                <w:szCs w:val="24"/>
              </w:rPr>
              <w:t xml:space="preserve"> conducted that quantifies the imperfectly understood risks and identifies the effects of changing key cost driver assumptions and factors.</w:t>
            </w:r>
          </w:p>
        </w:tc>
      </w:tr>
      <w:tr w:rsidR="00B964F0" w14:paraId="18E8CB66" w14:textId="77777777">
        <w:trPr>
          <w:trHeight w:val="440"/>
        </w:trPr>
        <w:tc>
          <w:tcPr>
            <w:tcW w:w="555" w:type="dxa"/>
            <w:vMerge w:val="restart"/>
            <w:shd w:val="clear" w:color="auto" w:fill="auto"/>
            <w:tcMar>
              <w:top w:w="100" w:type="dxa"/>
              <w:left w:w="100" w:type="dxa"/>
              <w:bottom w:w="100" w:type="dxa"/>
              <w:right w:w="100" w:type="dxa"/>
            </w:tcMar>
          </w:tcPr>
          <w:p w14:paraId="4B0439C0" w14:textId="77777777" w:rsidR="00B964F0" w:rsidRDefault="00000000">
            <w:pPr>
              <w:widowControl w:val="0"/>
              <w:spacing w:line="240" w:lineRule="auto"/>
              <w:jc w:val="center"/>
              <w:rPr>
                <w:sz w:val="24"/>
                <w:szCs w:val="24"/>
              </w:rPr>
            </w:pPr>
            <w:r>
              <w:rPr>
                <w:sz w:val="24"/>
                <w:szCs w:val="24"/>
              </w:rPr>
              <w:t>10</w:t>
            </w:r>
          </w:p>
        </w:tc>
        <w:tc>
          <w:tcPr>
            <w:tcW w:w="2025" w:type="dxa"/>
            <w:vMerge w:val="restart"/>
            <w:shd w:val="clear" w:color="auto" w:fill="auto"/>
            <w:tcMar>
              <w:top w:w="100" w:type="dxa"/>
              <w:left w:w="100" w:type="dxa"/>
              <w:bottom w:w="100" w:type="dxa"/>
              <w:right w:w="100" w:type="dxa"/>
            </w:tcMar>
          </w:tcPr>
          <w:p w14:paraId="7C28491F" w14:textId="77777777" w:rsidR="00B964F0" w:rsidRDefault="00000000">
            <w:pPr>
              <w:widowControl w:val="0"/>
              <w:spacing w:line="240" w:lineRule="auto"/>
              <w:rPr>
                <w:sz w:val="24"/>
                <w:szCs w:val="24"/>
              </w:rPr>
            </w:pPr>
            <w:r>
              <w:rPr>
                <w:sz w:val="24"/>
                <w:szCs w:val="24"/>
              </w:rPr>
              <w:t>Document the estimate</w:t>
            </w:r>
          </w:p>
        </w:tc>
        <w:tc>
          <w:tcPr>
            <w:tcW w:w="510" w:type="dxa"/>
            <w:shd w:val="clear" w:color="auto" w:fill="auto"/>
            <w:tcMar>
              <w:top w:w="100" w:type="dxa"/>
              <w:left w:w="100" w:type="dxa"/>
              <w:bottom w:w="100" w:type="dxa"/>
              <w:right w:w="100" w:type="dxa"/>
            </w:tcMar>
          </w:tcPr>
          <w:p w14:paraId="308A2A51" w14:textId="77777777" w:rsidR="00B964F0" w:rsidRDefault="00000000">
            <w:pPr>
              <w:widowControl w:val="0"/>
              <w:spacing w:line="240" w:lineRule="auto"/>
              <w:jc w:val="center"/>
              <w:rPr>
                <w:sz w:val="24"/>
                <w:szCs w:val="24"/>
              </w:rPr>
            </w:pPr>
            <w:r>
              <w:rPr>
                <w:sz w:val="24"/>
                <w:szCs w:val="24"/>
              </w:rPr>
              <w:t>13</w:t>
            </w:r>
          </w:p>
        </w:tc>
        <w:tc>
          <w:tcPr>
            <w:tcW w:w="6255" w:type="dxa"/>
            <w:shd w:val="clear" w:color="auto" w:fill="auto"/>
            <w:tcMar>
              <w:top w:w="100" w:type="dxa"/>
              <w:left w:w="100" w:type="dxa"/>
              <w:bottom w:w="100" w:type="dxa"/>
              <w:right w:w="100" w:type="dxa"/>
            </w:tcMar>
          </w:tcPr>
          <w:p w14:paraId="3F86293C" w14:textId="77777777" w:rsidR="00B964F0" w:rsidRDefault="00000000">
            <w:pPr>
              <w:spacing w:line="240" w:lineRule="auto"/>
              <w:rPr>
                <w:sz w:val="24"/>
                <w:szCs w:val="24"/>
              </w:rPr>
            </w:pPr>
            <w:r>
              <w:rPr>
                <w:sz w:val="24"/>
                <w:szCs w:val="24"/>
              </w:rPr>
              <w:t>The documentation shows the source data used, the reliability of the data, and the estimating methodology used to derive each element’s cost.</w:t>
            </w:r>
          </w:p>
        </w:tc>
      </w:tr>
      <w:tr w:rsidR="00B964F0" w14:paraId="27D5D3F1" w14:textId="77777777">
        <w:trPr>
          <w:trHeight w:val="440"/>
        </w:trPr>
        <w:tc>
          <w:tcPr>
            <w:tcW w:w="555" w:type="dxa"/>
            <w:vMerge/>
            <w:shd w:val="clear" w:color="auto" w:fill="auto"/>
            <w:tcMar>
              <w:top w:w="100" w:type="dxa"/>
              <w:left w:w="100" w:type="dxa"/>
              <w:bottom w:w="100" w:type="dxa"/>
              <w:right w:w="100" w:type="dxa"/>
            </w:tcMar>
          </w:tcPr>
          <w:p w14:paraId="35CFD169" w14:textId="77777777" w:rsidR="00B964F0" w:rsidRDefault="00B964F0">
            <w:pPr>
              <w:widowControl w:val="0"/>
              <w:spacing w:line="240" w:lineRule="auto"/>
              <w:jc w:val="center"/>
              <w:rPr>
                <w:sz w:val="24"/>
                <w:szCs w:val="24"/>
              </w:rPr>
            </w:pPr>
          </w:p>
        </w:tc>
        <w:tc>
          <w:tcPr>
            <w:tcW w:w="2025" w:type="dxa"/>
            <w:vMerge/>
            <w:shd w:val="clear" w:color="auto" w:fill="auto"/>
            <w:tcMar>
              <w:top w:w="100" w:type="dxa"/>
              <w:left w:w="100" w:type="dxa"/>
              <w:bottom w:w="100" w:type="dxa"/>
              <w:right w:w="100" w:type="dxa"/>
            </w:tcMar>
          </w:tcPr>
          <w:p w14:paraId="00A17C52" w14:textId="77777777" w:rsidR="00B964F0" w:rsidRDefault="00B964F0">
            <w:pPr>
              <w:widowControl w:val="0"/>
              <w:spacing w:line="240" w:lineRule="auto"/>
              <w:rPr>
                <w:sz w:val="24"/>
                <w:szCs w:val="24"/>
              </w:rPr>
            </w:pPr>
          </w:p>
        </w:tc>
        <w:tc>
          <w:tcPr>
            <w:tcW w:w="510" w:type="dxa"/>
            <w:shd w:val="clear" w:color="auto" w:fill="auto"/>
            <w:tcMar>
              <w:top w:w="100" w:type="dxa"/>
              <w:left w:w="100" w:type="dxa"/>
              <w:bottom w:w="100" w:type="dxa"/>
              <w:right w:w="100" w:type="dxa"/>
            </w:tcMar>
          </w:tcPr>
          <w:p w14:paraId="4E2AFABA" w14:textId="77777777" w:rsidR="00B964F0" w:rsidRDefault="00000000">
            <w:pPr>
              <w:widowControl w:val="0"/>
              <w:spacing w:line="240" w:lineRule="auto"/>
              <w:jc w:val="center"/>
              <w:rPr>
                <w:sz w:val="24"/>
                <w:szCs w:val="24"/>
              </w:rPr>
            </w:pPr>
            <w:r>
              <w:rPr>
                <w:sz w:val="24"/>
                <w:szCs w:val="24"/>
              </w:rPr>
              <w:t>14</w:t>
            </w:r>
          </w:p>
        </w:tc>
        <w:tc>
          <w:tcPr>
            <w:tcW w:w="6255" w:type="dxa"/>
            <w:shd w:val="clear" w:color="auto" w:fill="auto"/>
            <w:tcMar>
              <w:top w:w="100" w:type="dxa"/>
              <w:left w:w="100" w:type="dxa"/>
              <w:bottom w:w="100" w:type="dxa"/>
              <w:right w:w="100" w:type="dxa"/>
            </w:tcMar>
          </w:tcPr>
          <w:p w14:paraId="61E1A077" w14:textId="77777777" w:rsidR="00B964F0" w:rsidRDefault="00000000">
            <w:pPr>
              <w:spacing w:line="240" w:lineRule="auto"/>
              <w:rPr>
                <w:sz w:val="24"/>
                <w:szCs w:val="24"/>
              </w:rPr>
            </w:pPr>
            <w:r>
              <w:rPr>
                <w:sz w:val="24"/>
                <w:szCs w:val="24"/>
              </w:rPr>
              <w:t>The documentation describes how the estimate was developed so that a cost analyst unfamiliar with the program could understand what was done and replicate it.</w:t>
            </w:r>
          </w:p>
        </w:tc>
      </w:tr>
      <w:tr w:rsidR="00B964F0" w14:paraId="7490DD96" w14:textId="77777777">
        <w:trPr>
          <w:trHeight w:val="440"/>
        </w:trPr>
        <w:tc>
          <w:tcPr>
            <w:tcW w:w="555" w:type="dxa"/>
            <w:vMerge/>
            <w:shd w:val="clear" w:color="auto" w:fill="auto"/>
            <w:tcMar>
              <w:top w:w="100" w:type="dxa"/>
              <w:left w:w="100" w:type="dxa"/>
              <w:bottom w:w="100" w:type="dxa"/>
              <w:right w:w="100" w:type="dxa"/>
            </w:tcMar>
          </w:tcPr>
          <w:p w14:paraId="51308ECE" w14:textId="77777777" w:rsidR="00B964F0" w:rsidRDefault="00B964F0">
            <w:pPr>
              <w:widowControl w:val="0"/>
              <w:spacing w:line="240" w:lineRule="auto"/>
              <w:jc w:val="center"/>
              <w:rPr>
                <w:sz w:val="24"/>
                <w:szCs w:val="24"/>
              </w:rPr>
            </w:pPr>
          </w:p>
        </w:tc>
        <w:tc>
          <w:tcPr>
            <w:tcW w:w="2025" w:type="dxa"/>
            <w:vMerge/>
            <w:shd w:val="clear" w:color="auto" w:fill="auto"/>
            <w:tcMar>
              <w:top w:w="100" w:type="dxa"/>
              <w:left w:w="100" w:type="dxa"/>
              <w:bottom w:w="100" w:type="dxa"/>
              <w:right w:w="100" w:type="dxa"/>
            </w:tcMar>
          </w:tcPr>
          <w:p w14:paraId="4EE34EE6" w14:textId="77777777" w:rsidR="00B964F0" w:rsidRDefault="00B964F0">
            <w:pPr>
              <w:widowControl w:val="0"/>
              <w:spacing w:line="240" w:lineRule="auto"/>
              <w:rPr>
                <w:sz w:val="24"/>
                <w:szCs w:val="24"/>
              </w:rPr>
            </w:pPr>
          </w:p>
        </w:tc>
        <w:tc>
          <w:tcPr>
            <w:tcW w:w="510" w:type="dxa"/>
            <w:shd w:val="clear" w:color="auto" w:fill="auto"/>
            <w:tcMar>
              <w:top w:w="100" w:type="dxa"/>
              <w:left w:w="100" w:type="dxa"/>
              <w:bottom w:w="100" w:type="dxa"/>
              <w:right w:w="100" w:type="dxa"/>
            </w:tcMar>
          </w:tcPr>
          <w:p w14:paraId="0156B423" w14:textId="77777777" w:rsidR="00B964F0" w:rsidRDefault="00000000">
            <w:pPr>
              <w:widowControl w:val="0"/>
              <w:spacing w:line="240" w:lineRule="auto"/>
              <w:jc w:val="center"/>
              <w:rPr>
                <w:sz w:val="24"/>
                <w:szCs w:val="24"/>
              </w:rPr>
            </w:pPr>
            <w:r>
              <w:rPr>
                <w:sz w:val="24"/>
                <w:szCs w:val="24"/>
              </w:rPr>
              <w:t>15</w:t>
            </w:r>
          </w:p>
        </w:tc>
        <w:tc>
          <w:tcPr>
            <w:tcW w:w="6255" w:type="dxa"/>
            <w:shd w:val="clear" w:color="auto" w:fill="auto"/>
            <w:tcMar>
              <w:top w:w="100" w:type="dxa"/>
              <w:left w:w="100" w:type="dxa"/>
              <w:bottom w:w="100" w:type="dxa"/>
              <w:right w:w="100" w:type="dxa"/>
            </w:tcMar>
          </w:tcPr>
          <w:p w14:paraId="76494960" w14:textId="77777777" w:rsidR="00B964F0" w:rsidRDefault="00000000">
            <w:pPr>
              <w:spacing w:line="240" w:lineRule="auto"/>
              <w:rPr>
                <w:sz w:val="24"/>
                <w:szCs w:val="24"/>
              </w:rPr>
            </w:pPr>
            <w:r>
              <w:rPr>
                <w:sz w:val="24"/>
                <w:szCs w:val="24"/>
              </w:rPr>
              <w:t>The documentation discusses the technical baseline description and the data in the technical baseline are consistent with the cost estimate.</w:t>
            </w:r>
          </w:p>
        </w:tc>
      </w:tr>
      <w:tr w:rsidR="00B964F0" w14:paraId="53505A2B" w14:textId="77777777">
        <w:tc>
          <w:tcPr>
            <w:tcW w:w="555" w:type="dxa"/>
            <w:shd w:val="clear" w:color="auto" w:fill="auto"/>
            <w:tcMar>
              <w:top w:w="100" w:type="dxa"/>
              <w:left w:w="100" w:type="dxa"/>
              <w:bottom w:w="100" w:type="dxa"/>
              <w:right w:w="100" w:type="dxa"/>
            </w:tcMar>
          </w:tcPr>
          <w:p w14:paraId="7491B681" w14:textId="77777777" w:rsidR="00B964F0" w:rsidRDefault="00000000">
            <w:pPr>
              <w:widowControl w:val="0"/>
              <w:spacing w:line="240" w:lineRule="auto"/>
              <w:jc w:val="center"/>
              <w:rPr>
                <w:sz w:val="24"/>
                <w:szCs w:val="24"/>
              </w:rPr>
            </w:pPr>
            <w:r>
              <w:rPr>
                <w:sz w:val="24"/>
                <w:szCs w:val="24"/>
              </w:rPr>
              <w:t>11</w:t>
            </w:r>
          </w:p>
        </w:tc>
        <w:tc>
          <w:tcPr>
            <w:tcW w:w="2025" w:type="dxa"/>
            <w:shd w:val="clear" w:color="auto" w:fill="auto"/>
            <w:tcMar>
              <w:top w:w="100" w:type="dxa"/>
              <w:left w:w="100" w:type="dxa"/>
              <w:bottom w:w="100" w:type="dxa"/>
              <w:right w:w="100" w:type="dxa"/>
            </w:tcMar>
          </w:tcPr>
          <w:p w14:paraId="15136C2D" w14:textId="77777777" w:rsidR="00B964F0" w:rsidRDefault="00000000">
            <w:pPr>
              <w:spacing w:line="240" w:lineRule="auto"/>
              <w:rPr>
                <w:sz w:val="24"/>
                <w:szCs w:val="24"/>
              </w:rPr>
            </w:pPr>
            <w:r>
              <w:rPr>
                <w:sz w:val="24"/>
                <w:szCs w:val="24"/>
              </w:rPr>
              <w:t>Present the estimate to management for approval</w:t>
            </w:r>
          </w:p>
        </w:tc>
        <w:tc>
          <w:tcPr>
            <w:tcW w:w="510" w:type="dxa"/>
            <w:shd w:val="clear" w:color="auto" w:fill="auto"/>
            <w:tcMar>
              <w:top w:w="100" w:type="dxa"/>
              <w:left w:w="100" w:type="dxa"/>
              <w:bottom w:w="100" w:type="dxa"/>
              <w:right w:w="100" w:type="dxa"/>
            </w:tcMar>
          </w:tcPr>
          <w:p w14:paraId="2529B0D3" w14:textId="77777777" w:rsidR="00B964F0" w:rsidRDefault="00000000">
            <w:pPr>
              <w:widowControl w:val="0"/>
              <w:spacing w:line="240" w:lineRule="auto"/>
              <w:jc w:val="center"/>
              <w:rPr>
                <w:sz w:val="24"/>
                <w:szCs w:val="24"/>
              </w:rPr>
            </w:pPr>
            <w:r>
              <w:rPr>
                <w:sz w:val="24"/>
                <w:szCs w:val="24"/>
              </w:rPr>
              <w:t>16</w:t>
            </w:r>
          </w:p>
        </w:tc>
        <w:tc>
          <w:tcPr>
            <w:tcW w:w="6255" w:type="dxa"/>
            <w:shd w:val="clear" w:color="auto" w:fill="auto"/>
            <w:tcMar>
              <w:top w:w="100" w:type="dxa"/>
              <w:left w:w="100" w:type="dxa"/>
              <w:bottom w:w="100" w:type="dxa"/>
              <w:right w:w="100" w:type="dxa"/>
            </w:tcMar>
          </w:tcPr>
          <w:p w14:paraId="4B714427" w14:textId="77777777" w:rsidR="00B964F0" w:rsidRDefault="00000000">
            <w:pPr>
              <w:spacing w:line="240" w:lineRule="auto"/>
              <w:rPr>
                <w:sz w:val="24"/>
                <w:szCs w:val="24"/>
              </w:rPr>
            </w:pPr>
            <w:r>
              <w:rPr>
                <w:sz w:val="24"/>
                <w:szCs w:val="24"/>
              </w:rPr>
              <w:t>The documentation provides evidence that the cost estimate is reviewed and accepted by management.</w:t>
            </w:r>
          </w:p>
        </w:tc>
      </w:tr>
      <w:tr w:rsidR="00B964F0" w14:paraId="31F291A4" w14:textId="77777777">
        <w:trPr>
          <w:trHeight w:val="440"/>
        </w:trPr>
        <w:tc>
          <w:tcPr>
            <w:tcW w:w="555" w:type="dxa"/>
            <w:vMerge w:val="restart"/>
            <w:shd w:val="clear" w:color="auto" w:fill="auto"/>
            <w:tcMar>
              <w:top w:w="100" w:type="dxa"/>
              <w:left w:w="100" w:type="dxa"/>
              <w:bottom w:w="100" w:type="dxa"/>
              <w:right w:w="100" w:type="dxa"/>
            </w:tcMar>
          </w:tcPr>
          <w:p w14:paraId="4CA000D5" w14:textId="77777777" w:rsidR="00B964F0" w:rsidRDefault="00000000">
            <w:pPr>
              <w:widowControl w:val="0"/>
              <w:spacing w:line="240" w:lineRule="auto"/>
              <w:jc w:val="center"/>
              <w:rPr>
                <w:sz w:val="24"/>
                <w:szCs w:val="24"/>
              </w:rPr>
            </w:pPr>
            <w:r>
              <w:rPr>
                <w:sz w:val="24"/>
                <w:szCs w:val="24"/>
              </w:rPr>
              <w:t>12</w:t>
            </w:r>
          </w:p>
        </w:tc>
        <w:tc>
          <w:tcPr>
            <w:tcW w:w="2025" w:type="dxa"/>
            <w:vMerge w:val="restart"/>
            <w:shd w:val="clear" w:color="auto" w:fill="auto"/>
            <w:tcMar>
              <w:top w:w="100" w:type="dxa"/>
              <w:left w:w="100" w:type="dxa"/>
              <w:bottom w:w="100" w:type="dxa"/>
              <w:right w:w="100" w:type="dxa"/>
            </w:tcMar>
          </w:tcPr>
          <w:p w14:paraId="314CC3B8" w14:textId="77777777" w:rsidR="00B964F0" w:rsidRDefault="00000000">
            <w:pPr>
              <w:spacing w:line="240" w:lineRule="auto"/>
              <w:rPr>
                <w:sz w:val="24"/>
                <w:szCs w:val="24"/>
              </w:rPr>
            </w:pPr>
            <w:r>
              <w:rPr>
                <w:sz w:val="24"/>
                <w:szCs w:val="24"/>
              </w:rPr>
              <w:t>Update the estimate to reflect actual costs and changes</w:t>
            </w:r>
          </w:p>
        </w:tc>
        <w:tc>
          <w:tcPr>
            <w:tcW w:w="510" w:type="dxa"/>
            <w:shd w:val="clear" w:color="auto" w:fill="auto"/>
            <w:tcMar>
              <w:top w:w="100" w:type="dxa"/>
              <w:left w:w="100" w:type="dxa"/>
              <w:bottom w:w="100" w:type="dxa"/>
              <w:right w:w="100" w:type="dxa"/>
            </w:tcMar>
          </w:tcPr>
          <w:p w14:paraId="68FD499A" w14:textId="77777777" w:rsidR="00B964F0" w:rsidRDefault="00000000">
            <w:pPr>
              <w:widowControl w:val="0"/>
              <w:spacing w:line="240" w:lineRule="auto"/>
              <w:jc w:val="center"/>
              <w:rPr>
                <w:sz w:val="24"/>
                <w:szCs w:val="24"/>
              </w:rPr>
            </w:pPr>
            <w:r>
              <w:rPr>
                <w:sz w:val="24"/>
                <w:szCs w:val="24"/>
              </w:rPr>
              <w:t>17</w:t>
            </w:r>
          </w:p>
        </w:tc>
        <w:tc>
          <w:tcPr>
            <w:tcW w:w="6255" w:type="dxa"/>
            <w:shd w:val="clear" w:color="auto" w:fill="auto"/>
            <w:tcMar>
              <w:top w:w="100" w:type="dxa"/>
              <w:left w:w="100" w:type="dxa"/>
              <w:bottom w:w="100" w:type="dxa"/>
              <w:right w:w="100" w:type="dxa"/>
            </w:tcMar>
          </w:tcPr>
          <w:p w14:paraId="57FD7807" w14:textId="77777777" w:rsidR="00B964F0" w:rsidRDefault="00000000">
            <w:pPr>
              <w:spacing w:line="240" w:lineRule="auto"/>
              <w:rPr>
                <w:sz w:val="24"/>
                <w:szCs w:val="24"/>
              </w:rPr>
            </w:pPr>
            <w:r>
              <w:rPr>
                <w:sz w:val="24"/>
                <w:szCs w:val="24"/>
              </w:rPr>
              <w:t>The cost estimate is regularly updated to ensure it reflects program changes and actual costs.</w:t>
            </w:r>
          </w:p>
        </w:tc>
      </w:tr>
      <w:tr w:rsidR="00B964F0" w14:paraId="26F2F88F" w14:textId="77777777">
        <w:trPr>
          <w:trHeight w:val="440"/>
        </w:trPr>
        <w:tc>
          <w:tcPr>
            <w:tcW w:w="555" w:type="dxa"/>
            <w:vMerge/>
            <w:shd w:val="clear" w:color="auto" w:fill="auto"/>
            <w:tcMar>
              <w:top w:w="100" w:type="dxa"/>
              <w:left w:w="100" w:type="dxa"/>
              <w:bottom w:w="100" w:type="dxa"/>
              <w:right w:w="100" w:type="dxa"/>
            </w:tcMar>
          </w:tcPr>
          <w:p w14:paraId="41CA0609" w14:textId="77777777" w:rsidR="00B964F0" w:rsidRDefault="00B964F0">
            <w:pPr>
              <w:widowControl w:val="0"/>
              <w:spacing w:line="240" w:lineRule="auto"/>
              <w:jc w:val="center"/>
              <w:rPr>
                <w:sz w:val="24"/>
                <w:szCs w:val="24"/>
              </w:rPr>
            </w:pPr>
          </w:p>
        </w:tc>
        <w:tc>
          <w:tcPr>
            <w:tcW w:w="2025" w:type="dxa"/>
            <w:vMerge/>
            <w:shd w:val="clear" w:color="auto" w:fill="auto"/>
            <w:tcMar>
              <w:top w:w="100" w:type="dxa"/>
              <w:left w:w="100" w:type="dxa"/>
              <w:bottom w:w="100" w:type="dxa"/>
              <w:right w:w="100" w:type="dxa"/>
            </w:tcMar>
          </w:tcPr>
          <w:p w14:paraId="7E566FB7" w14:textId="77777777" w:rsidR="00B964F0" w:rsidRDefault="00B964F0">
            <w:pPr>
              <w:widowControl w:val="0"/>
              <w:spacing w:line="240" w:lineRule="auto"/>
              <w:rPr>
                <w:sz w:val="24"/>
                <w:szCs w:val="24"/>
              </w:rPr>
            </w:pPr>
          </w:p>
        </w:tc>
        <w:tc>
          <w:tcPr>
            <w:tcW w:w="510" w:type="dxa"/>
            <w:shd w:val="clear" w:color="auto" w:fill="auto"/>
            <w:tcMar>
              <w:top w:w="100" w:type="dxa"/>
              <w:left w:w="100" w:type="dxa"/>
              <w:bottom w:w="100" w:type="dxa"/>
              <w:right w:w="100" w:type="dxa"/>
            </w:tcMar>
          </w:tcPr>
          <w:p w14:paraId="5508C7A0" w14:textId="77777777" w:rsidR="00B964F0" w:rsidRDefault="00000000">
            <w:pPr>
              <w:widowControl w:val="0"/>
              <w:spacing w:line="240" w:lineRule="auto"/>
              <w:jc w:val="center"/>
              <w:rPr>
                <w:sz w:val="24"/>
                <w:szCs w:val="24"/>
              </w:rPr>
            </w:pPr>
            <w:r>
              <w:rPr>
                <w:sz w:val="24"/>
                <w:szCs w:val="24"/>
              </w:rPr>
              <w:t>18</w:t>
            </w:r>
          </w:p>
        </w:tc>
        <w:tc>
          <w:tcPr>
            <w:tcW w:w="6255" w:type="dxa"/>
            <w:shd w:val="clear" w:color="auto" w:fill="auto"/>
            <w:tcMar>
              <w:top w:w="100" w:type="dxa"/>
              <w:left w:w="100" w:type="dxa"/>
              <w:bottom w:w="100" w:type="dxa"/>
              <w:right w:w="100" w:type="dxa"/>
            </w:tcMar>
          </w:tcPr>
          <w:p w14:paraId="4CDF209D" w14:textId="77777777" w:rsidR="00B964F0" w:rsidRDefault="00000000">
            <w:pPr>
              <w:spacing w:line="240" w:lineRule="auto"/>
              <w:rPr>
                <w:sz w:val="24"/>
                <w:szCs w:val="24"/>
              </w:rPr>
            </w:pPr>
            <w:r>
              <w:rPr>
                <w:sz w:val="24"/>
                <w:szCs w:val="24"/>
              </w:rPr>
              <w:t>Variances between planned and actual costs are documented, explained, and reviewed.</w:t>
            </w:r>
          </w:p>
        </w:tc>
      </w:tr>
    </w:tbl>
    <w:p w14:paraId="52365167" w14:textId="77777777" w:rsidR="00B964F0" w:rsidRDefault="00B964F0">
      <w:pPr>
        <w:spacing w:line="240" w:lineRule="auto"/>
        <w:rPr>
          <w:sz w:val="24"/>
          <w:szCs w:val="24"/>
        </w:rPr>
      </w:pPr>
    </w:p>
    <w:p w14:paraId="08DDB2E4" w14:textId="77777777" w:rsidR="00B964F0" w:rsidRDefault="00000000">
      <w:pPr>
        <w:pStyle w:val="Heading3"/>
        <w:spacing w:line="240" w:lineRule="auto"/>
        <w:rPr>
          <w:b/>
          <w:sz w:val="24"/>
          <w:szCs w:val="24"/>
        </w:rPr>
      </w:pPr>
      <w:bookmarkStart w:id="17" w:name="_Toc157165773"/>
      <w:r>
        <w:rPr>
          <w:b/>
          <w:sz w:val="24"/>
          <w:szCs w:val="24"/>
        </w:rPr>
        <w:t>Additional Resources &amp; Reference Material</w:t>
      </w:r>
      <w:bookmarkEnd w:id="17"/>
    </w:p>
    <w:p w14:paraId="3C247978" w14:textId="77777777" w:rsidR="00B964F0" w:rsidRDefault="00000000">
      <w:pPr>
        <w:pStyle w:val="Heading4"/>
        <w:spacing w:line="240" w:lineRule="auto"/>
        <w:rPr>
          <w:b/>
        </w:rPr>
      </w:pPr>
      <w:bookmarkStart w:id="18" w:name="_Toc157165774"/>
      <w:r>
        <w:rPr>
          <w:b/>
        </w:rPr>
        <w:t>Digital Service Guidance</w:t>
      </w:r>
      <w:bookmarkEnd w:id="18"/>
    </w:p>
    <w:p w14:paraId="5E54C39D" w14:textId="77777777" w:rsidR="00B964F0" w:rsidRDefault="00000000">
      <w:pPr>
        <w:numPr>
          <w:ilvl w:val="0"/>
          <w:numId w:val="9"/>
        </w:numPr>
        <w:spacing w:line="240" w:lineRule="auto"/>
        <w:rPr>
          <w:sz w:val="24"/>
          <w:szCs w:val="24"/>
        </w:rPr>
      </w:pPr>
      <w:hyperlink r:id="rId25">
        <w:r>
          <w:rPr>
            <w:color w:val="1155CC"/>
            <w:sz w:val="24"/>
            <w:szCs w:val="24"/>
            <w:u w:val="single"/>
          </w:rPr>
          <w:t>Manifesto for Agile Software Development</w:t>
        </w:r>
      </w:hyperlink>
      <w:r>
        <w:rPr>
          <w:sz w:val="24"/>
          <w:szCs w:val="24"/>
        </w:rPr>
        <w:t xml:space="preserve"> </w:t>
      </w:r>
    </w:p>
    <w:p w14:paraId="74E141C3" w14:textId="77777777" w:rsidR="00B964F0" w:rsidRDefault="00000000">
      <w:pPr>
        <w:numPr>
          <w:ilvl w:val="0"/>
          <w:numId w:val="9"/>
        </w:numPr>
        <w:spacing w:line="240" w:lineRule="auto"/>
        <w:rPr>
          <w:sz w:val="24"/>
          <w:szCs w:val="24"/>
        </w:rPr>
      </w:pPr>
      <w:hyperlink r:id="rId26">
        <w:r>
          <w:rPr>
            <w:color w:val="1155CC"/>
            <w:sz w:val="24"/>
            <w:szCs w:val="24"/>
            <w:u w:val="single"/>
          </w:rPr>
          <w:t>U.S. Digital Services Playbook</w:t>
        </w:r>
      </w:hyperlink>
    </w:p>
    <w:p w14:paraId="00A4CCFB" w14:textId="77777777" w:rsidR="00B964F0" w:rsidRDefault="00000000">
      <w:pPr>
        <w:numPr>
          <w:ilvl w:val="0"/>
          <w:numId w:val="9"/>
        </w:numPr>
        <w:spacing w:line="240" w:lineRule="auto"/>
        <w:rPr>
          <w:sz w:val="24"/>
          <w:szCs w:val="24"/>
        </w:rPr>
      </w:pPr>
      <w:hyperlink r:id="rId27">
        <w:r>
          <w:rPr>
            <w:color w:val="1155CC"/>
            <w:sz w:val="24"/>
            <w:szCs w:val="24"/>
            <w:u w:val="single"/>
          </w:rPr>
          <w:t>Discovery Sprint Guide</w:t>
        </w:r>
      </w:hyperlink>
      <w:r>
        <w:rPr>
          <w:sz w:val="24"/>
          <w:szCs w:val="24"/>
        </w:rPr>
        <w:t xml:space="preserve"> </w:t>
      </w:r>
    </w:p>
    <w:p w14:paraId="4D586551" w14:textId="77777777" w:rsidR="00B964F0" w:rsidRDefault="00000000">
      <w:pPr>
        <w:numPr>
          <w:ilvl w:val="0"/>
          <w:numId w:val="9"/>
        </w:numPr>
        <w:spacing w:line="240" w:lineRule="auto"/>
        <w:rPr>
          <w:sz w:val="24"/>
          <w:szCs w:val="24"/>
        </w:rPr>
      </w:pPr>
      <w:hyperlink r:id="rId28">
        <w:proofErr w:type="spellStart"/>
        <w:r>
          <w:rPr>
            <w:color w:val="1155CC"/>
            <w:sz w:val="24"/>
            <w:szCs w:val="24"/>
            <w:u w:val="single"/>
          </w:rPr>
          <w:t>TechFAR</w:t>
        </w:r>
        <w:proofErr w:type="spellEnd"/>
        <w:r>
          <w:rPr>
            <w:color w:val="1155CC"/>
            <w:sz w:val="24"/>
            <w:szCs w:val="24"/>
            <w:u w:val="single"/>
          </w:rPr>
          <w:t xml:space="preserve"> Hub</w:t>
        </w:r>
      </w:hyperlink>
      <w:r>
        <w:rPr>
          <w:sz w:val="24"/>
          <w:szCs w:val="24"/>
        </w:rPr>
        <w:t xml:space="preserve"> </w:t>
      </w:r>
    </w:p>
    <w:p w14:paraId="5333ADBE" w14:textId="77777777" w:rsidR="00B964F0" w:rsidRDefault="00000000">
      <w:pPr>
        <w:pStyle w:val="Heading4"/>
        <w:spacing w:line="240" w:lineRule="auto"/>
        <w:rPr>
          <w:b/>
        </w:rPr>
      </w:pPr>
      <w:bookmarkStart w:id="19" w:name="_Toc157165775"/>
      <w:r>
        <w:rPr>
          <w:b/>
        </w:rPr>
        <w:t>Training</w:t>
      </w:r>
      <w:bookmarkEnd w:id="19"/>
    </w:p>
    <w:p w14:paraId="009D24C0" w14:textId="77777777" w:rsidR="00B964F0" w:rsidRDefault="00000000">
      <w:pPr>
        <w:numPr>
          <w:ilvl w:val="0"/>
          <w:numId w:val="10"/>
        </w:numPr>
        <w:spacing w:line="240" w:lineRule="auto"/>
        <w:rPr>
          <w:sz w:val="24"/>
          <w:szCs w:val="24"/>
        </w:rPr>
      </w:pPr>
      <w:hyperlink r:id="rId29">
        <w:r>
          <w:rPr>
            <w:color w:val="1155CC"/>
            <w:sz w:val="24"/>
            <w:szCs w:val="24"/>
            <w:u w:val="single"/>
          </w:rPr>
          <w:t>Federal Acquisition Institute (FAI)</w:t>
        </w:r>
      </w:hyperlink>
      <w:r>
        <w:rPr>
          <w:sz w:val="24"/>
          <w:szCs w:val="24"/>
        </w:rPr>
        <w:t xml:space="preserve"> </w:t>
      </w:r>
    </w:p>
    <w:p w14:paraId="27977B3F" w14:textId="77777777" w:rsidR="00B964F0" w:rsidRDefault="00000000">
      <w:pPr>
        <w:numPr>
          <w:ilvl w:val="0"/>
          <w:numId w:val="10"/>
        </w:numPr>
        <w:spacing w:line="240" w:lineRule="auto"/>
        <w:rPr>
          <w:sz w:val="24"/>
          <w:szCs w:val="24"/>
        </w:rPr>
      </w:pPr>
      <w:hyperlink r:id="rId30">
        <w:r>
          <w:rPr>
            <w:color w:val="1155CC"/>
            <w:sz w:val="24"/>
            <w:szCs w:val="24"/>
            <w:u w:val="single"/>
          </w:rPr>
          <w:t>Defense Acquisition University (DAU)</w:t>
        </w:r>
      </w:hyperlink>
    </w:p>
    <w:p w14:paraId="795FDAC7" w14:textId="77777777" w:rsidR="00B964F0" w:rsidRDefault="00000000">
      <w:pPr>
        <w:numPr>
          <w:ilvl w:val="0"/>
          <w:numId w:val="10"/>
        </w:numPr>
        <w:spacing w:line="240" w:lineRule="auto"/>
        <w:rPr>
          <w:sz w:val="24"/>
          <w:szCs w:val="24"/>
        </w:rPr>
      </w:pPr>
      <w:hyperlink r:id="rId31">
        <w:r>
          <w:rPr>
            <w:color w:val="1155CC"/>
            <w:sz w:val="24"/>
            <w:szCs w:val="24"/>
            <w:u w:val="single"/>
          </w:rPr>
          <w:t>Acquisition.gov</w:t>
        </w:r>
      </w:hyperlink>
    </w:p>
    <w:p w14:paraId="6D590727" w14:textId="77777777" w:rsidR="00B964F0" w:rsidRDefault="00000000">
      <w:pPr>
        <w:numPr>
          <w:ilvl w:val="0"/>
          <w:numId w:val="10"/>
        </w:numPr>
        <w:spacing w:line="240" w:lineRule="auto"/>
        <w:rPr>
          <w:sz w:val="24"/>
          <w:szCs w:val="24"/>
        </w:rPr>
      </w:pPr>
      <w:hyperlink r:id="rId32">
        <w:r>
          <w:rPr>
            <w:color w:val="1155CC"/>
            <w:sz w:val="24"/>
            <w:szCs w:val="24"/>
            <w:u w:val="single"/>
          </w:rPr>
          <w:t>U.S. Government Accountability Office (GAO)</w:t>
        </w:r>
      </w:hyperlink>
      <w:r>
        <w:rPr>
          <w:sz w:val="24"/>
          <w:szCs w:val="24"/>
        </w:rPr>
        <w:t xml:space="preserve"> &amp; the </w:t>
      </w:r>
      <w:hyperlink r:id="rId33">
        <w:r>
          <w:rPr>
            <w:color w:val="1155CC"/>
            <w:sz w:val="24"/>
            <w:szCs w:val="24"/>
            <w:u w:val="single"/>
          </w:rPr>
          <w:t>GAO Cost Estimating &amp; Assessment Guide: Best Practices for Developing and Managing Program Costs</w:t>
        </w:r>
      </w:hyperlink>
      <w:r>
        <w:rPr>
          <w:sz w:val="24"/>
          <w:szCs w:val="24"/>
          <w:vertAlign w:val="superscript"/>
        </w:rPr>
        <w:footnoteReference w:id="9"/>
      </w:r>
    </w:p>
    <w:p w14:paraId="0B74592F" w14:textId="77777777" w:rsidR="00B964F0" w:rsidRDefault="00B964F0">
      <w:pPr>
        <w:widowControl w:val="0"/>
        <w:spacing w:line="240" w:lineRule="auto"/>
        <w:rPr>
          <w:sz w:val="24"/>
          <w:szCs w:val="24"/>
        </w:rPr>
      </w:pPr>
    </w:p>
    <w:p w14:paraId="098E16DA" w14:textId="77777777" w:rsidR="00B964F0" w:rsidRDefault="00B964F0">
      <w:pPr>
        <w:widowControl w:val="0"/>
        <w:spacing w:line="240" w:lineRule="auto"/>
        <w:rPr>
          <w:sz w:val="24"/>
          <w:szCs w:val="24"/>
        </w:rPr>
      </w:pPr>
    </w:p>
    <w:sectPr w:rsidR="00B964F0">
      <w:headerReference w:type="even" r:id="rId34"/>
      <w:headerReference w:type="default" r:id="rId35"/>
      <w:footerReference w:type="default" r:id="rId36"/>
      <w:headerReference w:type="firs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72B4" w14:textId="77777777" w:rsidR="00A9638A" w:rsidRDefault="00A9638A">
      <w:pPr>
        <w:spacing w:line="240" w:lineRule="auto"/>
      </w:pPr>
      <w:r>
        <w:separator/>
      </w:r>
    </w:p>
  </w:endnote>
  <w:endnote w:type="continuationSeparator" w:id="0">
    <w:p w14:paraId="586D8245" w14:textId="77777777" w:rsidR="00A9638A" w:rsidRDefault="00A96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7DC6" w14:textId="77777777" w:rsidR="00B964F0" w:rsidRDefault="00000000">
    <w:pPr>
      <w:jc w:val="right"/>
    </w:pPr>
    <w:r>
      <w:fldChar w:fldCharType="begin"/>
    </w:r>
    <w:r>
      <w:instrText>PAGE</w:instrText>
    </w:r>
    <w:r>
      <w:fldChar w:fldCharType="separate"/>
    </w:r>
    <w:r w:rsidR="00BE42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98B4" w14:textId="77777777" w:rsidR="00A9638A" w:rsidRDefault="00A9638A">
      <w:pPr>
        <w:spacing w:line="240" w:lineRule="auto"/>
      </w:pPr>
      <w:r>
        <w:separator/>
      </w:r>
    </w:p>
  </w:footnote>
  <w:footnote w:type="continuationSeparator" w:id="0">
    <w:p w14:paraId="12A3A510" w14:textId="77777777" w:rsidR="00A9638A" w:rsidRDefault="00A9638A">
      <w:pPr>
        <w:spacing w:line="240" w:lineRule="auto"/>
      </w:pPr>
      <w:r>
        <w:continuationSeparator/>
      </w:r>
    </w:p>
  </w:footnote>
  <w:footnote w:id="1">
    <w:p w14:paraId="3B9E9954" w14:textId="77777777" w:rsidR="00B964F0" w:rsidRDefault="00000000">
      <w:pPr>
        <w:spacing w:line="240" w:lineRule="auto"/>
        <w:rPr>
          <w:sz w:val="24"/>
          <w:szCs w:val="24"/>
        </w:rPr>
      </w:pPr>
      <w:r>
        <w:rPr>
          <w:vertAlign w:val="superscript"/>
        </w:rPr>
        <w:footnoteRef/>
      </w:r>
      <w:r>
        <w:rPr>
          <w:b/>
          <w:sz w:val="24"/>
          <w:szCs w:val="24"/>
        </w:rPr>
        <w:t xml:space="preserve"> “</w:t>
      </w:r>
      <w:r>
        <w:rPr>
          <w:sz w:val="24"/>
          <w:szCs w:val="24"/>
        </w:rPr>
        <w:t>Cost savings</w:t>
      </w:r>
      <w:r>
        <w:rPr>
          <w:b/>
          <w:sz w:val="24"/>
          <w:szCs w:val="24"/>
        </w:rPr>
        <w:t xml:space="preserve">: </w:t>
      </w:r>
      <w:r>
        <w:rPr>
          <w:sz w:val="24"/>
          <w:szCs w:val="24"/>
        </w:rPr>
        <w:t>A reduction in actual expenditures below the projected level of costs to achieve a specific objective.” (</w:t>
      </w:r>
      <w:hyperlink r:id="rId1">
        <w:r>
          <w:rPr>
            <w:color w:val="1155CC"/>
            <w:sz w:val="24"/>
            <w:szCs w:val="24"/>
            <w:u w:val="single"/>
          </w:rPr>
          <w:t>OMB Circular A-131</w:t>
        </w:r>
      </w:hyperlink>
      <w:r>
        <w:rPr>
          <w:sz w:val="24"/>
          <w:szCs w:val="24"/>
        </w:rPr>
        <w:t>).</w:t>
      </w:r>
    </w:p>
  </w:footnote>
  <w:footnote w:id="2">
    <w:p w14:paraId="4E6CF133" w14:textId="77777777" w:rsidR="00B964F0" w:rsidRDefault="00000000">
      <w:pPr>
        <w:spacing w:line="240" w:lineRule="auto"/>
        <w:rPr>
          <w:sz w:val="24"/>
          <w:szCs w:val="24"/>
        </w:rPr>
      </w:pPr>
      <w:r>
        <w:rPr>
          <w:vertAlign w:val="superscript"/>
        </w:rPr>
        <w:footnoteRef/>
      </w:r>
      <w:r>
        <w:rPr>
          <w:b/>
          <w:sz w:val="24"/>
          <w:szCs w:val="24"/>
        </w:rPr>
        <w:t xml:space="preserve"> “</w:t>
      </w:r>
      <w:r>
        <w:rPr>
          <w:sz w:val="24"/>
          <w:szCs w:val="24"/>
        </w:rPr>
        <w:t>Cost avoidance</w:t>
      </w:r>
      <w:r>
        <w:rPr>
          <w:b/>
          <w:sz w:val="24"/>
          <w:szCs w:val="24"/>
        </w:rPr>
        <w:t>:</w:t>
      </w:r>
      <w:r>
        <w:rPr>
          <w:sz w:val="24"/>
          <w:szCs w:val="24"/>
        </w:rPr>
        <w:t xml:space="preserve"> An action taken in the immediate time frame that will decrease costs in the future.” (</w:t>
      </w:r>
      <w:hyperlink r:id="rId2">
        <w:r>
          <w:rPr>
            <w:color w:val="1155CC"/>
            <w:sz w:val="24"/>
            <w:szCs w:val="24"/>
            <w:u w:val="single"/>
          </w:rPr>
          <w:t>OMB Circular A-131</w:t>
        </w:r>
      </w:hyperlink>
      <w:r>
        <w:rPr>
          <w:sz w:val="24"/>
          <w:szCs w:val="24"/>
        </w:rPr>
        <w:t>).</w:t>
      </w:r>
    </w:p>
  </w:footnote>
  <w:footnote w:id="3">
    <w:p w14:paraId="446E0885" w14:textId="77777777" w:rsidR="00B964F0" w:rsidRDefault="00000000">
      <w:pPr>
        <w:spacing w:line="240" w:lineRule="auto"/>
        <w:rPr>
          <w:sz w:val="20"/>
          <w:szCs w:val="20"/>
        </w:rPr>
      </w:pPr>
      <w:r>
        <w:rPr>
          <w:vertAlign w:val="superscript"/>
        </w:rPr>
        <w:footnoteRef/>
      </w:r>
      <w:r>
        <w:rPr>
          <w:sz w:val="20"/>
          <w:szCs w:val="20"/>
        </w:rPr>
        <w:t xml:space="preserve"> </w:t>
      </w:r>
      <w:r>
        <w:rPr>
          <w:sz w:val="24"/>
          <w:szCs w:val="24"/>
        </w:rPr>
        <w:t>GAO. (2021). Technology Modernization Fund: Implementation of Recommendations Can Improve Fee Collection and Proposal Cost Estimates. (</w:t>
      </w:r>
      <w:hyperlink r:id="rId3">
        <w:r>
          <w:rPr>
            <w:color w:val="1155CC"/>
            <w:sz w:val="24"/>
            <w:szCs w:val="24"/>
            <w:u w:val="single"/>
          </w:rPr>
          <w:t>GAO Publication No. 22-105117</w:t>
        </w:r>
      </w:hyperlink>
      <w:r>
        <w:rPr>
          <w:sz w:val="24"/>
          <w:szCs w:val="24"/>
        </w:rPr>
        <w:t>). Washington, D.C.: U.S. Government Printing Office.</w:t>
      </w:r>
    </w:p>
  </w:footnote>
  <w:footnote w:id="4">
    <w:p w14:paraId="4C49ABBC" w14:textId="77777777" w:rsidR="00B964F0" w:rsidRDefault="00000000">
      <w:pPr>
        <w:spacing w:line="240" w:lineRule="auto"/>
        <w:rPr>
          <w:sz w:val="24"/>
          <w:szCs w:val="24"/>
          <w:highlight w:val="white"/>
        </w:rPr>
      </w:pPr>
      <w:r>
        <w:rPr>
          <w:vertAlign w:val="superscript"/>
        </w:rPr>
        <w:footnoteRef/>
      </w:r>
      <w:r>
        <w:rPr>
          <w:sz w:val="20"/>
          <w:szCs w:val="20"/>
        </w:rPr>
        <w:t xml:space="preserve"> </w:t>
      </w:r>
      <w:r>
        <w:rPr>
          <w:sz w:val="24"/>
          <w:szCs w:val="24"/>
        </w:rPr>
        <w:t xml:space="preserve">GAO. </w:t>
      </w:r>
      <w:r>
        <w:rPr>
          <w:i/>
          <w:sz w:val="24"/>
          <w:szCs w:val="24"/>
        </w:rPr>
        <w:t>Cost Estimating &amp; Assessment Guide: Best Practices for Developing and Managing Program Costs</w:t>
      </w:r>
      <w:r>
        <w:rPr>
          <w:sz w:val="24"/>
          <w:szCs w:val="24"/>
        </w:rPr>
        <w:t xml:space="preserve">, </w:t>
      </w:r>
      <w:hyperlink r:id="rId4">
        <w:r>
          <w:rPr>
            <w:color w:val="1155CC"/>
            <w:sz w:val="24"/>
            <w:szCs w:val="24"/>
            <w:u w:val="single"/>
          </w:rPr>
          <w:t>GAO-20-195G</w:t>
        </w:r>
      </w:hyperlink>
      <w:r>
        <w:rPr>
          <w:sz w:val="24"/>
          <w:szCs w:val="24"/>
        </w:rPr>
        <w:t>. Washington, D.C.: March 12, 2020.</w:t>
      </w:r>
    </w:p>
  </w:footnote>
  <w:footnote w:id="5">
    <w:p w14:paraId="414E27D5" w14:textId="77777777" w:rsidR="00B964F0" w:rsidRDefault="00000000">
      <w:pPr>
        <w:spacing w:line="240" w:lineRule="auto"/>
        <w:rPr>
          <w:sz w:val="24"/>
          <w:szCs w:val="24"/>
          <w:highlight w:val="white"/>
        </w:rPr>
      </w:pPr>
      <w:r>
        <w:rPr>
          <w:vertAlign w:val="superscript"/>
        </w:rPr>
        <w:footnoteRef/>
      </w:r>
      <w:r>
        <w:rPr>
          <w:sz w:val="20"/>
          <w:szCs w:val="20"/>
        </w:rPr>
        <w:t xml:space="preserve"> </w:t>
      </w:r>
      <w:r>
        <w:rPr>
          <w:sz w:val="24"/>
          <w:szCs w:val="24"/>
        </w:rPr>
        <w:t xml:space="preserve">GAO. </w:t>
      </w:r>
      <w:r>
        <w:rPr>
          <w:i/>
          <w:sz w:val="24"/>
          <w:szCs w:val="24"/>
        </w:rPr>
        <w:t>Cost Estimating &amp; Assessment Guide: Best Practices for Developing and Managing Program Costs</w:t>
      </w:r>
      <w:r>
        <w:rPr>
          <w:sz w:val="24"/>
          <w:szCs w:val="24"/>
        </w:rPr>
        <w:t xml:space="preserve">, </w:t>
      </w:r>
      <w:hyperlink r:id="rId5">
        <w:r>
          <w:rPr>
            <w:color w:val="1155CC"/>
            <w:sz w:val="24"/>
            <w:szCs w:val="24"/>
            <w:u w:val="single"/>
          </w:rPr>
          <w:t>GAO-20-195G</w:t>
        </w:r>
      </w:hyperlink>
      <w:r>
        <w:rPr>
          <w:sz w:val="24"/>
          <w:szCs w:val="24"/>
        </w:rPr>
        <w:t>. Washington, D.C.: March 12, 2020.</w:t>
      </w:r>
    </w:p>
  </w:footnote>
  <w:footnote w:id="6">
    <w:p w14:paraId="6E5AFCBA" w14:textId="77777777" w:rsidR="00B964F0" w:rsidRDefault="00000000">
      <w:pPr>
        <w:spacing w:line="240" w:lineRule="auto"/>
        <w:rPr>
          <w:sz w:val="20"/>
          <w:szCs w:val="20"/>
        </w:rPr>
      </w:pPr>
      <w:r>
        <w:rPr>
          <w:vertAlign w:val="superscript"/>
        </w:rPr>
        <w:footnoteRef/>
      </w:r>
      <w:r>
        <w:rPr>
          <w:sz w:val="20"/>
          <w:szCs w:val="20"/>
        </w:rPr>
        <w:t xml:space="preserve"> </w:t>
      </w:r>
      <w:r>
        <w:rPr>
          <w:sz w:val="24"/>
          <w:szCs w:val="24"/>
        </w:rPr>
        <w:t xml:space="preserve">Together the 12 steps represent a consistent methodology that can be used across the federal government to develop, manage, and evaluate program cost estimates. The steps are useful to auditors for determining the quality of an agency’s process, guidance, and regulations for creating and maintaining a </w:t>
      </w:r>
      <w:proofErr w:type="gramStart"/>
      <w:r>
        <w:rPr>
          <w:sz w:val="24"/>
          <w:szCs w:val="24"/>
        </w:rPr>
        <w:t>high quality</w:t>
      </w:r>
      <w:proofErr w:type="gramEnd"/>
      <w:r>
        <w:rPr>
          <w:sz w:val="24"/>
          <w:szCs w:val="24"/>
        </w:rPr>
        <w:t xml:space="preserve"> estimate.</w:t>
      </w:r>
    </w:p>
  </w:footnote>
  <w:footnote w:id="7">
    <w:p w14:paraId="339E706B" w14:textId="77777777" w:rsidR="00B964F0" w:rsidRDefault="00000000">
      <w:pPr>
        <w:spacing w:line="240" w:lineRule="auto"/>
        <w:rPr>
          <w:sz w:val="20"/>
          <w:szCs w:val="20"/>
        </w:rPr>
      </w:pPr>
      <w:r>
        <w:rPr>
          <w:vertAlign w:val="superscript"/>
        </w:rPr>
        <w:footnoteRef/>
      </w:r>
      <w:r>
        <w:rPr>
          <w:sz w:val="20"/>
          <w:szCs w:val="20"/>
        </w:rPr>
        <w:t xml:space="preserve"> </w:t>
      </w:r>
      <w:r>
        <w:rPr>
          <w:sz w:val="24"/>
          <w:szCs w:val="24"/>
        </w:rPr>
        <w:t>If implemented systematically, the best practices result in a cost estimate that is comprehensive, well documented, accurate, and credible. The best practices are useful to auditors for determining the reliability of a life cycle cost estimate.</w:t>
      </w:r>
    </w:p>
  </w:footnote>
  <w:footnote w:id="8">
    <w:p w14:paraId="604B94A8" w14:textId="77777777" w:rsidR="00B964F0" w:rsidRDefault="00000000">
      <w:pPr>
        <w:spacing w:line="240" w:lineRule="auto"/>
        <w:rPr>
          <w:sz w:val="20"/>
          <w:szCs w:val="20"/>
        </w:rPr>
      </w:pPr>
      <w:r>
        <w:rPr>
          <w:vertAlign w:val="superscript"/>
        </w:rPr>
        <w:footnoteRef/>
      </w:r>
      <w:r>
        <w:rPr>
          <w:sz w:val="20"/>
          <w:szCs w:val="20"/>
        </w:rPr>
        <w:t xml:space="preserve"> </w:t>
      </w:r>
      <w:r>
        <w:rPr>
          <w:sz w:val="24"/>
          <w:szCs w:val="24"/>
        </w:rPr>
        <w:t>Step 2 does not have an associated best practice because it does not result in a definitive attribute of the cost estimate. Instead, failing to fully implement step 2 is a cause of why best practices may not have been fully met.</w:t>
      </w:r>
    </w:p>
  </w:footnote>
  <w:footnote w:id="9">
    <w:p w14:paraId="4E92DE6D" w14:textId="77777777" w:rsidR="00B964F0" w:rsidRDefault="00000000">
      <w:pPr>
        <w:spacing w:line="240" w:lineRule="auto"/>
        <w:rPr>
          <w:sz w:val="24"/>
          <w:szCs w:val="24"/>
          <w:highlight w:val="white"/>
        </w:rPr>
      </w:pPr>
      <w:r>
        <w:rPr>
          <w:vertAlign w:val="superscript"/>
        </w:rPr>
        <w:footnoteRef/>
      </w:r>
      <w:r>
        <w:rPr>
          <w:sz w:val="20"/>
          <w:szCs w:val="20"/>
        </w:rPr>
        <w:t xml:space="preserve"> </w:t>
      </w:r>
      <w:r>
        <w:rPr>
          <w:sz w:val="24"/>
          <w:szCs w:val="24"/>
        </w:rPr>
        <w:t xml:space="preserve">GAO. </w:t>
      </w:r>
      <w:r>
        <w:rPr>
          <w:i/>
          <w:sz w:val="24"/>
          <w:szCs w:val="24"/>
        </w:rPr>
        <w:t>Cost Estimating &amp; Assessment Guide: Best Practices for Developing and Managing Program Costs</w:t>
      </w:r>
      <w:r>
        <w:rPr>
          <w:sz w:val="24"/>
          <w:szCs w:val="24"/>
        </w:rPr>
        <w:t xml:space="preserve">, </w:t>
      </w:r>
      <w:hyperlink r:id="rId6">
        <w:r>
          <w:rPr>
            <w:color w:val="1155CC"/>
            <w:sz w:val="24"/>
            <w:szCs w:val="24"/>
            <w:u w:val="single"/>
          </w:rPr>
          <w:t>GAO-20-195G</w:t>
        </w:r>
      </w:hyperlink>
      <w:r>
        <w:rPr>
          <w:sz w:val="24"/>
          <w:szCs w:val="24"/>
        </w:rPr>
        <w:t>. Washington, D.C.: March 12,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BD71" w14:textId="77777777" w:rsidR="00BE422B" w:rsidRDefault="00BE4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47B0" w14:textId="77777777" w:rsidR="00B964F0" w:rsidRDefault="00000000">
    <w:pPr>
      <w:jc w:val="center"/>
    </w:pPr>
    <w:r>
      <w:rPr>
        <w:noProof/>
        <w:sz w:val="24"/>
        <w:szCs w:val="24"/>
      </w:rPr>
      <w:drawing>
        <wp:inline distT="114300" distB="114300" distL="114300" distR="114300" wp14:anchorId="72C1D628" wp14:editId="72574E84">
          <wp:extent cx="798653" cy="603512"/>
          <wp:effectExtent l="0" t="0" r="190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4671" cy="61561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5608" w14:textId="77777777" w:rsidR="00BE422B" w:rsidRDefault="00BE4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616"/>
    <w:multiLevelType w:val="multilevel"/>
    <w:tmpl w:val="19F66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E0308C"/>
    <w:multiLevelType w:val="multilevel"/>
    <w:tmpl w:val="4C18C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B73B88"/>
    <w:multiLevelType w:val="multilevel"/>
    <w:tmpl w:val="0A629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D359BC"/>
    <w:multiLevelType w:val="multilevel"/>
    <w:tmpl w:val="8404E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975F00"/>
    <w:multiLevelType w:val="multilevel"/>
    <w:tmpl w:val="7E863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A20D54"/>
    <w:multiLevelType w:val="multilevel"/>
    <w:tmpl w:val="E12C0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655F58"/>
    <w:multiLevelType w:val="multilevel"/>
    <w:tmpl w:val="0DB8C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847B5B"/>
    <w:multiLevelType w:val="multilevel"/>
    <w:tmpl w:val="547ED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832CE2"/>
    <w:multiLevelType w:val="multilevel"/>
    <w:tmpl w:val="32B0E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E50DD9"/>
    <w:multiLevelType w:val="multilevel"/>
    <w:tmpl w:val="CCFA3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901AA7"/>
    <w:multiLevelType w:val="multilevel"/>
    <w:tmpl w:val="5DA26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2063C9"/>
    <w:multiLevelType w:val="multilevel"/>
    <w:tmpl w:val="C2084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DC02FE"/>
    <w:multiLevelType w:val="multilevel"/>
    <w:tmpl w:val="0E3EC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813E68"/>
    <w:multiLevelType w:val="multilevel"/>
    <w:tmpl w:val="CBDEB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A7489D"/>
    <w:multiLevelType w:val="multilevel"/>
    <w:tmpl w:val="FBC8B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BA2829"/>
    <w:multiLevelType w:val="multilevel"/>
    <w:tmpl w:val="ED767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C379FC"/>
    <w:multiLevelType w:val="multilevel"/>
    <w:tmpl w:val="2F7E5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4E0EC1"/>
    <w:multiLevelType w:val="multilevel"/>
    <w:tmpl w:val="55421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9E793D"/>
    <w:multiLevelType w:val="multilevel"/>
    <w:tmpl w:val="F1B8C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AA5A10"/>
    <w:multiLevelType w:val="multilevel"/>
    <w:tmpl w:val="C5F27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2312420">
    <w:abstractNumId w:val="12"/>
  </w:num>
  <w:num w:numId="2" w16cid:durableId="226115815">
    <w:abstractNumId w:val="3"/>
  </w:num>
  <w:num w:numId="3" w16cid:durableId="284238663">
    <w:abstractNumId w:val="14"/>
  </w:num>
  <w:num w:numId="4" w16cid:durableId="1287276758">
    <w:abstractNumId w:val="7"/>
  </w:num>
  <w:num w:numId="5" w16cid:durableId="1730767143">
    <w:abstractNumId w:val="1"/>
  </w:num>
  <w:num w:numId="6" w16cid:durableId="2104759897">
    <w:abstractNumId w:val="5"/>
  </w:num>
  <w:num w:numId="7" w16cid:durableId="1873882985">
    <w:abstractNumId w:val="4"/>
  </w:num>
  <w:num w:numId="8" w16cid:durableId="1008630542">
    <w:abstractNumId w:val="2"/>
  </w:num>
  <w:num w:numId="9" w16cid:durableId="970791529">
    <w:abstractNumId w:val="13"/>
  </w:num>
  <w:num w:numId="10" w16cid:durableId="1357850716">
    <w:abstractNumId w:val="0"/>
  </w:num>
  <w:num w:numId="11" w16cid:durableId="1024554850">
    <w:abstractNumId w:val="16"/>
  </w:num>
  <w:num w:numId="12" w16cid:durableId="1847666198">
    <w:abstractNumId w:val="18"/>
  </w:num>
  <w:num w:numId="13" w16cid:durableId="951278367">
    <w:abstractNumId w:val="8"/>
  </w:num>
  <w:num w:numId="14" w16cid:durableId="486046823">
    <w:abstractNumId w:val="17"/>
  </w:num>
  <w:num w:numId="15" w16cid:durableId="1428885052">
    <w:abstractNumId w:val="15"/>
  </w:num>
  <w:num w:numId="16" w16cid:durableId="3673039">
    <w:abstractNumId w:val="6"/>
  </w:num>
  <w:num w:numId="17" w16cid:durableId="1919947557">
    <w:abstractNumId w:val="11"/>
  </w:num>
  <w:num w:numId="18" w16cid:durableId="2141266074">
    <w:abstractNumId w:val="19"/>
  </w:num>
  <w:num w:numId="19" w16cid:durableId="1785882369">
    <w:abstractNumId w:val="9"/>
  </w:num>
  <w:num w:numId="20" w16cid:durableId="1453018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F0"/>
    <w:rsid w:val="00207469"/>
    <w:rsid w:val="00A9638A"/>
    <w:rsid w:val="00B34A08"/>
    <w:rsid w:val="00B964F0"/>
    <w:rsid w:val="00BE422B"/>
    <w:rsid w:val="00CE4453"/>
    <w:rsid w:val="00F5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2EE1"/>
  <w15:docId w15:val="{4C32F221-9740-DC43-88EF-92BF54C7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E422B"/>
    <w:pPr>
      <w:tabs>
        <w:tab w:val="center" w:pos="4680"/>
        <w:tab w:val="right" w:pos="9360"/>
      </w:tabs>
      <w:spacing w:line="240" w:lineRule="auto"/>
    </w:pPr>
  </w:style>
  <w:style w:type="character" w:customStyle="1" w:styleId="HeaderChar">
    <w:name w:val="Header Char"/>
    <w:basedOn w:val="DefaultParagraphFont"/>
    <w:link w:val="Header"/>
    <w:uiPriority w:val="99"/>
    <w:rsid w:val="00BE422B"/>
  </w:style>
  <w:style w:type="paragraph" w:styleId="Footer">
    <w:name w:val="footer"/>
    <w:basedOn w:val="Normal"/>
    <w:link w:val="FooterChar"/>
    <w:uiPriority w:val="99"/>
    <w:unhideWhenUsed/>
    <w:rsid w:val="00BE422B"/>
    <w:pPr>
      <w:tabs>
        <w:tab w:val="center" w:pos="4680"/>
        <w:tab w:val="right" w:pos="9360"/>
      </w:tabs>
      <w:spacing w:line="240" w:lineRule="auto"/>
    </w:pPr>
  </w:style>
  <w:style w:type="character" w:customStyle="1" w:styleId="FooterChar">
    <w:name w:val="Footer Char"/>
    <w:basedOn w:val="DefaultParagraphFont"/>
    <w:link w:val="Footer"/>
    <w:uiPriority w:val="99"/>
    <w:rsid w:val="00BE422B"/>
  </w:style>
  <w:style w:type="paragraph" w:styleId="TOC3">
    <w:name w:val="toc 3"/>
    <w:basedOn w:val="Normal"/>
    <w:next w:val="Normal"/>
    <w:autoRedefine/>
    <w:uiPriority w:val="39"/>
    <w:unhideWhenUsed/>
    <w:rsid w:val="00BE422B"/>
    <w:pPr>
      <w:spacing w:after="100"/>
      <w:ind w:left="440"/>
    </w:pPr>
  </w:style>
  <w:style w:type="paragraph" w:styleId="TOC4">
    <w:name w:val="toc 4"/>
    <w:basedOn w:val="Normal"/>
    <w:next w:val="Normal"/>
    <w:autoRedefine/>
    <w:uiPriority w:val="39"/>
    <w:unhideWhenUsed/>
    <w:rsid w:val="00BE422B"/>
    <w:pPr>
      <w:spacing w:after="100"/>
      <w:ind w:left="660"/>
    </w:pPr>
  </w:style>
  <w:style w:type="character" w:styleId="Hyperlink">
    <w:name w:val="Hyperlink"/>
    <w:basedOn w:val="DefaultParagraphFont"/>
    <w:uiPriority w:val="99"/>
    <w:unhideWhenUsed/>
    <w:rsid w:val="00BE4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fai.gov/" TargetMode="External"/><Relationship Id="rId18" Type="http://schemas.openxmlformats.org/officeDocument/2006/relationships/hyperlink" Target="https://tmf.cio.gov/arp/" TargetMode="External"/><Relationship Id="rId26" Type="http://schemas.openxmlformats.org/officeDocument/2006/relationships/hyperlink" Target="https://playbook.cio.gov/" TargetMode="External"/><Relationship Id="rId39" Type="http://schemas.openxmlformats.org/officeDocument/2006/relationships/theme" Target="theme/theme1.xml"/><Relationship Id="rId21" Type="http://schemas.openxmlformats.org/officeDocument/2006/relationships/hyperlink" Target="https://tmf.cio.gov/documents/funding-guidelines/" TargetMode="External"/><Relationship Id="rId34" Type="http://schemas.openxmlformats.org/officeDocument/2006/relationships/header" Target="header1.xml"/><Relationship Id="rId7" Type="http://schemas.openxmlformats.org/officeDocument/2006/relationships/hyperlink" Target="https://www.whitehouse.gov/wp-content/uploads/2018/06/a11.pdf" TargetMode="External"/><Relationship Id="rId12" Type="http://schemas.openxmlformats.org/officeDocument/2006/relationships/hyperlink" Target="https://www.gao.gov/products/gao-22-105117" TargetMode="External"/><Relationship Id="rId17" Type="http://schemas.openxmlformats.org/officeDocument/2006/relationships/hyperlink" Target="https://www.gao.gov/assets/gao-20-195g.pdf" TargetMode="External"/><Relationship Id="rId25" Type="http://schemas.openxmlformats.org/officeDocument/2006/relationships/hyperlink" Target="https://agilemanifesto.org/" TargetMode="External"/><Relationship Id="rId33" Type="http://schemas.openxmlformats.org/officeDocument/2006/relationships/hyperlink" Target="https://www.gao.gov/assets/gao-20-195g.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o.gov/" TargetMode="External"/><Relationship Id="rId20" Type="http://schemas.openxmlformats.org/officeDocument/2006/relationships/hyperlink" Target="https://tmf.cio.gov/arp/" TargetMode="External"/><Relationship Id="rId29" Type="http://schemas.openxmlformats.org/officeDocument/2006/relationships/hyperlink" Target="https://www.fai.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f.cio.gov/_pages/documents/pdfs/mgt-act-final.pdf" TargetMode="External"/><Relationship Id="rId24" Type="http://schemas.openxmlformats.org/officeDocument/2006/relationships/hyperlink" Target="https://www.gao.gov/assets/gao-20-195g.pdf" TargetMode="External"/><Relationship Id="rId32" Type="http://schemas.openxmlformats.org/officeDocument/2006/relationships/hyperlink" Target="https://www.gao.gov/"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cquisition.gov/" TargetMode="External"/><Relationship Id="rId23" Type="http://schemas.openxmlformats.org/officeDocument/2006/relationships/hyperlink" Target="https://tmf.cio.gov/documents/funding-guidelines/" TargetMode="External"/><Relationship Id="rId28" Type="http://schemas.openxmlformats.org/officeDocument/2006/relationships/hyperlink" Target="https://techfarhub.cio.gov/" TargetMode="External"/><Relationship Id="rId36" Type="http://schemas.openxmlformats.org/officeDocument/2006/relationships/footer" Target="footer1.xml"/><Relationship Id="rId10" Type="http://schemas.openxmlformats.org/officeDocument/2006/relationships/hyperlink" Target="https://www.gao.gov/products/gao-20-195g" TargetMode="External"/><Relationship Id="rId19" Type="http://schemas.openxmlformats.org/officeDocument/2006/relationships/hyperlink" Target="https://tmf.cio.gov/documents/funding-guidelines/" TargetMode="External"/><Relationship Id="rId31" Type="http://schemas.openxmlformats.org/officeDocument/2006/relationships/hyperlink" Target="https://www.acquisition.gov/" TargetMode="External"/><Relationship Id="rId4" Type="http://schemas.openxmlformats.org/officeDocument/2006/relationships/webSettings" Target="webSettings.xml"/><Relationship Id="rId9" Type="http://schemas.openxmlformats.org/officeDocument/2006/relationships/hyperlink" Target="https://www.whitehouse.gov/wp-content/uploads/2021/01/capital_programming_guide.pdf" TargetMode="External"/><Relationship Id="rId14" Type="http://schemas.openxmlformats.org/officeDocument/2006/relationships/hyperlink" Target="https://www.dau.edu/" TargetMode="External"/><Relationship Id="rId22" Type="http://schemas.openxmlformats.org/officeDocument/2006/relationships/hyperlink" Target="https://tmf.cio.gov/arp/" TargetMode="External"/><Relationship Id="rId27" Type="http://schemas.openxmlformats.org/officeDocument/2006/relationships/hyperlink" Target="https://sprint.usds.gov/" TargetMode="External"/><Relationship Id="rId30" Type="http://schemas.openxmlformats.org/officeDocument/2006/relationships/hyperlink" Target="https://www.dau.edu/" TargetMode="External"/><Relationship Id="rId35" Type="http://schemas.openxmlformats.org/officeDocument/2006/relationships/header" Target="header2.xml"/><Relationship Id="rId8" Type="http://schemas.openxmlformats.org/officeDocument/2006/relationships/hyperlink" Target="https://www.whitehouse.gov/wp-content/uploads/legacy_drupal_files/omb/circulars/A131/a131-122013.pdf"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gao.gov/assets/gao-22-105117.pdf" TargetMode="External"/><Relationship Id="rId2" Type="http://schemas.openxmlformats.org/officeDocument/2006/relationships/hyperlink" Target="https://www.whitehouse.gov/wp-content/uploads/legacy_drupal_files/omb/circulars/A131/a131-122013.pdf" TargetMode="External"/><Relationship Id="rId1" Type="http://schemas.openxmlformats.org/officeDocument/2006/relationships/hyperlink" Target="https://www.whitehouse.gov/wp-content/uploads/legacy_drupal_files/omb/circulars/A131/a131-122013.pdf" TargetMode="External"/><Relationship Id="rId6" Type="http://schemas.openxmlformats.org/officeDocument/2006/relationships/hyperlink" Target="https://www.gao.gov/assets/gao-20-195g.pdf" TargetMode="External"/><Relationship Id="rId5" Type="http://schemas.openxmlformats.org/officeDocument/2006/relationships/hyperlink" Target="https://www.gao.gov/assets/gao-20-195g.pdf" TargetMode="External"/><Relationship Id="rId4" Type="http://schemas.openxmlformats.org/officeDocument/2006/relationships/hyperlink" Target="https://www.gao.gov/assets/gao-20-195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3403</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SelinaDCooper</cp:lastModifiedBy>
  <cp:revision>3</cp:revision>
  <cp:lastPrinted>2024-01-26T18:09:00Z</cp:lastPrinted>
  <dcterms:created xsi:type="dcterms:W3CDTF">2024-01-26T18:09:00Z</dcterms:created>
  <dcterms:modified xsi:type="dcterms:W3CDTF">2024-01-26T18:35:00Z</dcterms:modified>
</cp:coreProperties>
</file>